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data de 05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modificată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completată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ședința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data de 23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132">
        <w:rPr>
          <w:rFonts w:ascii="Times New Roman" w:eastAsia="Times New Roman" w:hAnsi="Times New Roman" w:cs="Times New Roman"/>
          <w:sz w:val="24"/>
          <w:szCs w:val="24"/>
        </w:rPr>
        <w:t>DOCUMENTE DE REFERINŢĂ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1.Legea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nr. 1/2011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2.Legea 53/2003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3.Hotărârea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nr. 134/2011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categoriilor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stimulare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stat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4.Hotărârea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nr. 518/1995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obligaţii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trimis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misiuni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5.Carta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„Carol Davila”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comunităţii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participa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variate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colaborări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perfecţionare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congrese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federațiilor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studențești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organizațiile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studențești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U.M.F. ”Carol Davila” au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aderat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comunităţii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scopurile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considerată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scopurile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posibilă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Şefului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Decanului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facultăţii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Finanţarea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deplasărilor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ştiinţifică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posibilă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suportă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scopurile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a.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suportă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singură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cheltuială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transport,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diurnă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taxa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știintifică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poster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acceptate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 prim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prezentator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dovadă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b.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decont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date a U.M.F. ”Carol Davila”;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c.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singură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-un an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alegere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transport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750 Euro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750 Euro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diurnă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maxim 5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maxim 5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750 Euro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d. nu pot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mulți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aceleiași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r w:rsidRPr="006B11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e.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cadre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Erasmus+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Acțiunea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KA1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mobilități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suporta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transport (un drum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dus-întors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plecare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începutul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mobilitate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întoarcere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mobilitate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500 Euro.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studenţi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finanţa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scopurile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5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8 (opt) certificate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Decanul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facultăţii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asociație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studenților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finanța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maxim 2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/an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congresele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federațiilor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absolut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vizele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Departamentul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Granturi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Ştiinţifică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RUNOS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Juridic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avizate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Şeful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Rectorat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Internaţională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data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începerii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manifestării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retroactive.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însoţite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invitaţia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primită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instiutuţiei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manifestările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Solicitările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depăşesc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mare de 15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Rectorat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Internaţională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data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începerii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specializare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anexează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invitaţia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primită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perfecţionare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specializare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maximum 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R.U.N.O.S.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Încadrări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reîncepere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semnată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Şeful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Directorul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Departament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Decanul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Facultăţii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recomandarea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semnată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menţionaţi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reluarea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deplasează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nu pot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iniţiativa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încetării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terminării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deplasează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cuprinsă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nu pot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iniţiativa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încetării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stagiului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lastRenderedPageBreak/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Decontarea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maximum 60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întoarcerii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ţară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tip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disponibilă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internet al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universităţii</w:t>
      </w:r>
      <w:proofErr w:type="spellEnd"/>
    </w:p>
    <w:p w:rsidR="006B1132" w:rsidRPr="006B1132" w:rsidRDefault="006B1132" w:rsidP="006B1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6B1132">
        <w:rPr>
          <w:rFonts w:ascii="Times New Roman" w:eastAsia="Times New Roman" w:hAnsi="Times New Roman" w:cs="Times New Roman"/>
          <w:sz w:val="24"/>
          <w:szCs w:val="24"/>
        </w:rPr>
        <w:br/>
        <w:t xml:space="preserve">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întoarcerea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Rectorat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B1132">
        <w:rPr>
          <w:rFonts w:ascii="Times New Roman" w:eastAsia="Times New Roman" w:hAnsi="Times New Roman" w:cs="Times New Roman"/>
          <w:sz w:val="24"/>
          <w:szCs w:val="24"/>
        </w:rPr>
        <w:t>deplasare</w:t>
      </w:r>
      <w:proofErr w:type="spellEnd"/>
      <w:r w:rsidRPr="006B1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194" w:rsidRDefault="00383194"/>
    <w:sectPr w:rsidR="00383194" w:rsidSect="00383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1132"/>
    <w:rsid w:val="00383194"/>
    <w:rsid w:val="006B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6B1132"/>
  </w:style>
  <w:style w:type="paragraph" w:styleId="BalloonText">
    <w:name w:val="Balloon Text"/>
    <w:basedOn w:val="Normal"/>
    <w:link w:val="BalloonTextChar"/>
    <w:uiPriority w:val="99"/>
    <w:semiHidden/>
    <w:unhideWhenUsed/>
    <w:rsid w:val="006B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2017-01-22T09:02:00Z</dcterms:created>
  <dcterms:modified xsi:type="dcterms:W3CDTF">2017-01-22T09:02:00Z</dcterms:modified>
</cp:coreProperties>
</file>