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 xml:space="preserve">TEMATICA ȘI BIBLIOGRAFIA PENTRU </w:t>
      </w:r>
      <w:r>
        <w:rPr>
          <w:b/>
          <w:sz w:val="24"/>
        </w:rPr>
        <w:t>EXAMENUL DE LICENȚĂ</w:t>
      </w:r>
    </w:p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>ÎN DOMENIUL MEDICINĂ DENTARĂ 201</w:t>
      </w:r>
      <w:r>
        <w:rPr>
          <w:b/>
          <w:sz w:val="24"/>
        </w:rPr>
        <w:t>8</w:t>
      </w:r>
    </w:p>
    <w:p w:rsidR="00894B23" w:rsidRPr="004E224C" w:rsidRDefault="00894B23" w:rsidP="00894B23">
      <w:pPr>
        <w:spacing w:after="0" w:line="240" w:lineRule="auto"/>
        <w:jc w:val="center"/>
        <w:rPr>
          <w:b/>
          <w:sz w:val="24"/>
        </w:rPr>
      </w:pPr>
      <w:r w:rsidRPr="004E224C">
        <w:rPr>
          <w:b/>
          <w:sz w:val="24"/>
        </w:rPr>
        <w:t>(în paranteze este precizat indexul bibliografic al temei)</w:t>
      </w:r>
    </w:p>
    <w:p w:rsidR="00894B23" w:rsidRDefault="00894B23" w:rsidP="00894B23">
      <w:pPr>
        <w:spacing w:after="0"/>
      </w:pP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Substanțe anestezice utilizate în anestezia locală (1, pag. 6-16)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Tehnici folosite în anestezia loco-regională (1, pag. 19-34)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Indicațiile extracției dentare (1, pag. 64-65)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Contraindicații în extracția dentară (1, pag. 65-67)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Extracția dentară cu separație interradiculară (1, pag. 81)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Accidente și complicații ale extracției dentare (1, pag. 92-102)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Tulburări asociate erupției  și / sau incluziei molarului de minte inferior (1, pag. 141-145)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Odontectomia molarului de minte inferior (1, pag. 147-151)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Tipuri de lambouri pentru rezecția apicală (1, pag. 176-179)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Principii generale privind incizia și crearea lambourilor în rezecția apicală (1, pag. 180-181)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Plastia șanțurilor periosoase (1, pag. 208-210)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Extracția alveoloplastică (1, pag. 211-214)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Principii generale de tratament în supurațiile oro-maxilo-faciale (1, pag. 245-247)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Infecții periosoase (1, pag. 247-249)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Supurații difuze (1, pag. 270-273)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Infecțiile nespecifice ale oaselor maxilare (1, pag. 281-284)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Comunicarea oro-sinuzală (1, pag. 303-308)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Semne clinice comune fracturilor de mandibulă (1, pag. 322-323)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Atitudinea față de dinții din focarul de fractură (1, pag. 346-347)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Fracturi orizontale ale maxilarului (1, pag. 363-366)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Semne clinice comune fracturilor de maxilar (1, pag. 369)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Diagnosticul  fracturilor complexului zigomatic (1, pag. 381-382)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dermoid (1, pag. 403-404)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branhial (1, pag. 406-407)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Ranula (1, pag. 412-414)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Granulomul piogen (1, pag. 418-420)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Granulomul periferic cu celule gigante (1, pag. 421-423)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Papilomul (1, pag. 425-426)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Keratochistul odontogen (1, pag. 452-456)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Chistul folicular (1, pag. 456-458)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Chisturi inflamatorii (1, pag. 466-471)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Ameloblastomul (1, pag. 474-482)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buzelor: particularități clinice, diagnostic diferențial, evoluție (1, pag. 585-587)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părții orale ale limbii și ale planșeului oral (1, pag. 597-600)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lastRenderedPageBreak/>
        <w:t>Tumorile maligne ale mucoasei gingivale (1, pag. 621-622)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mandibulei: tumori maligne primare de origine mezenchimală, tumori maligne primare odontogene și tumori multifocale (1, pag. 628-631)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Tumorile maligne ale maxilarului: forme anatomo-clinice (1, pag. 642-645)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Luxația temporo-mandibulară: luxația anterioară (1, pag. 688-691)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Anchiloza temporo-mandibulară (1, pag. 700-702)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Litiaza glandei submandibulare (1, pag. 725-727)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Tumori benigne ale glandelor salivare (1, pag. 744-749)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tumorilor benigne parotidiene (1, pag. 761-763)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Tehnici chirurgicale de osteotomie a maxilarului (1, pag. 793-794)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Clasificarea despicăturilor de buză (1, pag. 828-831)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Entități clinice asociate cu durere oro-maxilo-facială (1, pag. 916-922)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Rolul factorilor funcționali în formarea aparatului dento-maxilar (2, pag. 317-347, 350-369, 433-445)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Anodonția (3, pag. 15-33)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Dinții supranumerari (3, pag. 40-63)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Incluzia dentară (3, pag. 73-90)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Reincluzia dentară (3, pag. 107-117)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Ectopia dentară (3, pag. 121-127)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Diastema (3, pag. 133-140)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Transpoziția dentară (3, pag. 149-154)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cariei dentare (4, pag. 169-182, 296-302, 311-322)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Etiopatogenia cariei dentare (4, pag. 52-61)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Formele anatomo-clinice ale pulpitelor dinților permanenți (5, pag. 68-93)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Necroza și gangrena pulpară (5, pag. 94-102)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Parodontite apicale acute și cronice (5, pag. 103-125)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necrozei și gangrenei pulpare (5, pag. 158-173, 198-202)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Obturarea canalelor radiculare (5, pag. 214-238)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parodontitelor apicale acute și cronice (5, pag. 249-260)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Morfologia parodonțiului marginal (6, pag. 40-46)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Etiopatogenia parodontopatiilor marginale cronice (6, pag. 109-111, 137-155)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Diagnosticul îmbolnăvirilor gingivo-parodontale (6, pag. 189-199)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Forme clinice și simptomatologie în gingivite și parodontite marginale (6, pag. 221-245, 254-269, 274-278)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Evoluție, prognostic și complicații ale parodontopatiilor (6, pag. 282-286)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Tratamentul gingivitelor și parodontopatiilor marginale(6, pag. 288-292, 305-336, 342-360)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Orientări terapeutice principale și scheme de tratament în gingivite și parodontite (6, pag. 465-477)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Ocluzia dentară (7, pag. 25-76)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lastRenderedPageBreak/>
        <w:t>Restaurări unidentare intracoronare (7, pag. 170-189)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Restaurări extracoronare (7, pag. 190-198, 228-239)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Elemente structurale ale punților dentare (7, pag. 451-463)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Elemente structurale ale protezelor parțiale scheletate (8, pag. 116-152)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Determinarea relațiilor intermaxilare în edentația totală (8, pag. 550-563)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Noțiuni de dezvoltare a dintelui și a structurilor de suport (9, pag. 7-40)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Particularitățile morfologice și de structură ale dinților temporari (9, pag. 117-148)</w:t>
      </w:r>
    </w:p>
    <w:p w:rsidR="00894B23" w:rsidRDefault="00894B23" w:rsidP="00894B23">
      <w:pPr>
        <w:pStyle w:val="ListParagraph"/>
        <w:numPr>
          <w:ilvl w:val="0"/>
          <w:numId w:val="8"/>
        </w:numPr>
        <w:rPr>
          <w:lang w:val="ro-RO"/>
        </w:rPr>
      </w:pPr>
      <w:r>
        <w:rPr>
          <w:lang w:val="ro-RO"/>
        </w:rPr>
        <w:t>Caria la dinții temporari: forme clinice și diagnostic, patologia pulpară și metode de tratament în inflamația pulpară (10, pag. 43-82, 99-119, 127-157)</w:t>
      </w:r>
    </w:p>
    <w:p w:rsidR="00894B23" w:rsidRDefault="00894B23" w:rsidP="00894B23"/>
    <w:p w:rsidR="00894B23" w:rsidRDefault="00894B23" w:rsidP="00894B23"/>
    <w:p w:rsidR="00894B23" w:rsidRPr="00C10EE4" w:rsidRDefault="00894B23" w:rsidP="00894B23">
      <w:pPr>
        <w:jc w:val="center"/>
        <w:rPr>
          <w:b/>
          <w:sz w:val="24"/>
        </w:rPr>
      </w:pPr>
      <w:r w:rsidRPr="00C10EE4">
        <w:rPr>
          <w:b/>
          <w:sz w:val="24"/>
        </w:rPr>
        <w:t>Bibliografia: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Bucur Al., Navarro Vila C., Lowry J., Acero,</w:t>
      </w:r>
      <w:r w:rsidRPr="00C10EE4">
        <w:rPr>
          <w:rFonts w:cstheme="minorHAnsi"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 xml:space="preserve">J. </w:t>
      </w:r>
      <w:r w:rsidRPr="00C10EE4">
        <w:rPr>
          <w:rFonts w:cstheme="minorHAnsi"/>
          <w:color w:val="333333"/>
        </w:rPr>
        <w:t>— Compendiu de chirurgie oro-maxilo-facială, vol. 1 și 2, Editura Q Med Publishing, Bucuresti, 2009.</w:t>
      </w:r>
    </w:p>
    <w:p w:rsidR="00894B23" w:rsidRPr="00C10EE4" w:rsidRDefault="00894B23" w:rsidP="00894B23">
      <w:pPr>
        <w:pStyle w:val="ListParagraph"/>
        <w:numPr>
          <w:ilvl w:val="0"/>
          <w:numId w:val="9"/>
        </w:numPr>
        <w:rPr>
          <w:rFonts w:cstheme="minorHAnsi"/>
          <w:lang w:val="ro-RO"/>
        </w:rPr>
      </w:pPr>
      <w:r w:rsidRPr="00C10EE4">
        <w:rPr>
          <w:rFonts w:cstheme="minorHAnsi"/>
          <w:b/>
          <w:color w:val="333333"/>
          <w:lang w:val="ro-RO"/>
        </w:rPr>
        <w:t>Boboc, Gh. — Aparatul dentomaxilar. Formare și dezvoltare</w:t>
      </w:r>
      <w:r w:rsidRPr="00C10EE4">
        <w:rPr>
          <w:rFonts w:cstheme="minorHAnsi"/>
          <w:color w:val="333333"/>
          <w:lang w:val="ro-RO"/>
        </w:rPr>
        <w:t>, Ed. Medicală, București, 1995.</w:t>
      </w:r>
    </w:p>
    <w:p w:rsidR="00894B23" w:rsidRPr="00C10EE4" w:rsidRDefault="00894B23" w:rsidP="00894B23">
      <w:pPr>
        <w:pStyle w:val="ListParagraph"/>
        <w:numPr>
          <w:ilvl w:val="0"/>
          <w:numId w:val="9"/>
        </w:numPr>
        <w:spacing w:after="0"/>
        <w:rPr>
          <w:rFonts w:cstheme="minorHAnsi"/>
          <w:lang w:val="ro-RO"/>
        </w:rPr>
      </w:pPr>
      <w:r w:rsidRPr="00C10EE4">
        <w:rPr>
          <w:rFonts w:cstheme="minorHAnsi"/>
          <w:b/>
          <w:color w:val="333333"/>
          <w:lang w:val="ro-RO"/>
        </w:rPr>
        <w:t xml:space="preserve"> Ionescu, E. — Anomaliile dentare</w:t>
      </w:r>
      <w:r w:rsidRPr="00C10EE4">
        <w:rPr>
          <w:rFonts w:cstheme="minorHAnsi"/>
          <w:color w:val="333333"/>
          <w:lang w:val="ro-RO"/>
        </w:rPr>
        <w:t>, Editura Cartea Universitară, București, 2005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Iliescu A., Gafar M.</w:t>
      </w:r>
      <w:r>
        <w:rPr>
          <w:rFonts w:cstheme="minorHAnsi"/>
          <w:b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 xml:space="preserve">— Cariologie 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i odontoterapie restauratoare</w:t>
      </w:r>
      <w:r w:rsidRPr="00C10EE4">
        <w:rPr>
          <w:rFonts w:cstheme="minorHAnsi"/>
          <w:color w:val="333333"/>
        </w:rPr>
        <w:t>, Editura Medical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200</w:t>
      </w:r>
      <w:r>
        <w:rPr>
          <w:rFonts w:cstheme="minorHAnsi"/>
          <w:color w:val="333333"/>
        </w:rPr>
        <w:t>6</w:t>
      </w:r>
      <w:r w:rsidRPr="00C10EE4">
        <w:rPr>
          <w:rFonts w:cstheme="minorHAnsi"/>
          <w:color w:val="333333"/>
        </w:rPr>
        <w:t>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Gafar M</w:t>
      </w:r>
      <w:r>
        <w:rPr>
          <w:rFonts w:cstheme="minorHAnsi"/>
          <w:b/>
          <w:color w:val="333333"/>
        </w:rPr>
        <w:t xml:space="preserve">., </w:t>
      </w:r>
      <w:r w:rsidRPr="00C10EE4">
        <w:rPr>
          <w:rFonts w:cstheme="minorHAnsi"/>
          <w:b/>
          <w:color w:val="333333"/>
        </w:rPr>
        <w:t xml:space="preserve"> Iliescu A.</w:t>
      </w:r>
      <w:r>
        <w:rPr>
          <w:rFonts w:cstheme="minorHAnsi"/>
          <w:b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>— Endodon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>ia clinic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 xml:space="preserve"> 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i practic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,</w:t>
      </w:r>
      <w:r w:rsidRPr="00C10EE4">
        <w:rPr>
          <w:rFonts w:cstheme="minorHAnsi"/>
          <w:color w:val="333333"/>
        </w:rPr>
        <w:t xml:space="preserve"> Edi</w:t>
      </w:r>
      <w:r>
        <w:rPr>
          <w:rFonts w:cstheme="minorHAnsi"/>
          <w:color w:val="333333"/>
        </w:rPr>
        <w:t>ț</w:t>
      </w:r>
      <w:r w:rsidRPr="00C10EE4">
        <w:rPr>
          <w:rFonts w:cstheme="minorHAnsi"/>
          <w:color w:val="333333"/>
        </w:rPr>
        <w:t>ia a II-a, Editura</w:t>
      </w:r>
      <w:r>
        <w:rPr>
          <w:rFonts w:cstheme="minorHAnsi"/>
          <w:color w:val="333333"/>
        </w:rPr>
        <w:t xml:space="preserve"> Medicală</w:t>
      </w:r>
      <w:r w:rsidRPr="00C10EE4">
        <w:rPr>
          <w:rFonts w:cstheme="minorHAnsi"/>
          <w:color w:val="333333"/>
        </w:rPr>
        <w:t>, Bucuresti, 200</w:t>
      </w:r>
      <w:r>
        <w:rPr>
          <w:rFonts w:cstheme="minorHAnsi"/>
          <w:color w:val="333333"/>
        </w:rPr>
        <w:t>7</w:t>
      </w:r>
      <w:r w:rsidRPr="00C10EE4">
        <w:rPr>
          <w:rFonts w:cstheme="minorHAnsi"/>
          <w:color w:val="333333"/>
        </w:rPr>
        <w:t>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Dumitriu H.T., Dumitriu S</w:t>
      </w:r>
      <w:r>
        <w:rPr>
          <w:rFonts w:cstheme="minorHAnsi"/>
          <w:b/>
          <w:color w:val="333333"/>
        </w:rPr>
        <w:t>.</w:t>
      </w:r>
      <w:r w:rsidRPr="00C10EE4">
        <w:rPr>
          <w:rFonts w:cstheme="minorHAnsi"/>
          <w:b/>
          <w:color w:val="333333"/>
        </w:rPr>
        <w:t>, Dumitriu</w:t>
      </w:r>
      <w:r w:rsidRPr="00C10EE4">
        <w:rPr>
          <w:rFonts w:cstheme="minorHAnsi"/>
          <w:color w:val="333333"/>
        </w:rPr>
        <w:t xml:space="preserve"> </w:t>
      </w:r>
      <w:r w:rsidRPr="00C10EE4">
        <w:rPr>
          <w:rFonts w:cstheme="minorHAnsi"/>
          <w:b/>
          <w:color w:val="333333"/>
        </w:rPr>
        <w:t>A</w:t>
      </w:r>
      <w:r>
        <w:rPr>
          <w:rFonts w:cstheme="minorHAnsi"/>
          <w:b/>
          <w:color w:val="333333"/>
        </w:rPr>
        <w:t>. S.</w:t>
      </w:r>
      <w:r w:rsidRPr="00C10EE4">
        <w:rPr>
          <w:rFonts w:cstheme="minorHAnsi"/>
          <w:color w:val="333333"/>
        </w:rPr>
        <w:t xml:space="preserve"> — Parodontologie, Editura Via</w:t>
      </w:r>
      <w:r>
        <w:rPr>
          <w:rFonts w:cstheme="minorHAnsi"/>
          <w:color w:val="333333"/>
        </w:rPr>
        <w:t>ț</w:t>
      </w:r>
      <w:r w:rsidRPr="00C10EE4">
        <w:rPr>
          <w:rFonts w:cstheme="minorHAnsi"/>
          <w:color w:val="333333"/>
        </w:rPr>
        <w:t>a Medical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Rom</w:t>
      </w:r>
      <w:r>
        <w:rPr>
          <w:rFonts w:cstheme="minorHAnsi"/>
          <w:color w:val="333333"/>
        </w:rPr>
        <w:t>â</w:t>
      </w:r>
      <w:r w:rsidRPr="00C10EE4">
        <w:rPr>
          <w:rFonts w:cstheme="minorHAnsi"/>
          <w:color w:val="333333"/>
        </w:rPr>
        <w:t>neasc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2009.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 xml:space="preserve">Forna </w:t>
      </w:r>
      <w:r>
        <w:rPr>
          <w:rFonts w:cstheme="minorHAnsi"/>
          <w:b/>
          <w:color w:val="333333"/>
        </w:rPr>
        <w:t>N.,</w:t>
      </w:r>
      <w:r w:rsidRPr="00C10EE4">
        <w:rPr>
          <w:rFonts w:cstheme="minorHAnsi"/>
          <w:b/>
          <w:color w:val="333333"/>
        </w:rPr>
        <w:t>(coordonator)</w:t>
      </w:r>
      <w:r>
        <w:rPr>
          <w:rFonts w:cstheme="minorHAnsi"/>
          <w:b/>
          <w:color w:val="333333"/>
        </w:rPr>
        <w:t xml:space="preserve">, </w:t>
      </w:r>
      <w:r w:rsidRPr="00C10EE4">
        <w:rPr>
          <w:rFonts w:cstheme="minorHAnsi"/>
          <w:b/>
          <w:color w:val="333333"/>
        </w:rPr>
        <w:t>De Baat C., Bratu D., Mercu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 xml:space="preserve"> V., Petre Al., Pop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or S., Tr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istaru T.</w:t>
      </w:r>
      <w:r w:rsidRPr="00C10EE4">
        <w:rPr>
          <w:rFonts w:cstheme="minorHAnsi"/>
          <w:color w:val="333333"/>
        </w:rPr>
        <w:t>— Protetic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Dentar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Vol. I, Editura Enciclopedic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2011.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 xml:space="preserve">Forna </w:t>
      </w:r>
      <w:r>
        <w:rPr>
          <w:rFonts w:cstheme="minorHAnsi"/>
          <w:b/>
          <w:color w:val="333333"/>
        </w:rPr>
        <w:t>N.,</w:t>
      </w:r>
      <w:r w:rsidRPr="00C10EE4">
        <w:rPr>
          <w:rFonts w:cstheme="minorHAnsi"/>
          <w:b/>
          <w:color w:val="333333"/>
        </w:rPr>
        <w:t>(coordonator)</w:t>
      </w:r>
      <w:r>
        <w:rPr>
          <w:rFonts w:cstheme="minorHAnsi"/>
          <w:b/>
          <w:color w:val="333333"/>
        </w:rPr>
        <w:t xml:space="preserve">, </w:t>
      </w:r>
      <w:r w:rsidRPr="00C10EE4">
        <w:rPr>
          <w:rFonts w:cstheme="minorHAnsi"/>
          <w:b/>
          <w:color w:val="333333"/>
        </w:rPr>
        <w:t>De Baat C., Bratu D., Mercu</w:t>
      </w:r>
      <w:r>
        <w:rPr>
          <w:rFonts w:cstheme="minorHAnsi"/>
          <w:b/>
          <w:color w:val="333333"/>
        </w:rPr>
        <w:t>ț</w:t>
      </w:r>
      <w:r w:rsidRPr="00C10EE4">
        <w:rPr>
          <w:rFonts w:cstheme="minorHAnsi"/>
          <w:b/>
          <w:color w:val="333333"/>
        </w:rPr>
        <w:t xml:space="preserve"> V., Petre Al., Pop</w:t>
      </w:r>
      <w:r>
        <w:rPr>
          <w:rFonts w:cstheme="minorHAnsi"/>
          <w:b/>
          <w:color w:val="333333"/>
        </w:rPr>
        <w:t>ș</w:t>
      </w:r>
      <w:r w:rsidRPr="00C10EE4">
        <w:rPr>
          <w:rFonts w:cstheme="minorHAnsi"/>
          <w:b/>
          <w:color w:val="333333"/>
        </w:rPr>
        <w:t>or S., Tr</w:t>
      </w:r>
      <w:r>
        <w:rPr>
          <w:rFonts w:cstheme="minorHAnsi"/>
          <w:b/>
          <w:color w:val="333333"/>
        </w:rPr>
        <w:t>ă</w:t>
      </w:r>
      <w:r w:rsidRPr="00C10EE4">
        <w:rPr>
          <w:rFonts w:cstheme="minorHAnsi"/>
          <w:b/>
          <w:color w:val="333333"/>
        </w:rPr>
        <w:t>istaru T.</w:t>
      </w:r>
      <w:r w:rsidRPr="00C10EE4">
        <w:rPr>
          <w:rFonts w:cstheme="minorHAnsi"/>
          <w:color w:val="333333"/>
        </w:rPr>
        <w:t>— Protetic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Dentar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 xml:space="preserve"> Vol. </w:t>
      </w:r>
      <w:r>
        <w:rPr>
          <w:rFonts w:cstheme="minorHAnsi"/>
          <w:color w:val="333333"/>
        </w:rPr>
        <w:t>I</w:t>
      </w:r>
      <w:r w:rsidRPr="00C10EE4">
        <w:rPr>
          <w:rFonts w:cstheme="minorHAnsi"/>
          <w:color w:val="333333"/>
        </w:rPr>
        <w:t>I, Editura Enciclopedic</w:t>
      </w:r>
      <w:r>
        <w:rPr>
          <w:rFonts w:cstheme="minorHAnsi"/>
          <w:color w:val="333333"/>
        </w:rPr>
        <w:t>ă</w:t>
      </w:r>
      <w:r w:rsidRPr="00C10EE4">
        <w:rPr>
          <w:rFonts w:cstheme="minorHAnsi"/>
          <w:color w:val="333333"/>
        </w:rPr>
        <w:t>, Bucure</w:t>
      </w:r>
      <w:r>
        <w:rPr>
          <w:rFonts w:cstheme="minorHAnsi"/>
          <w:color w:val="333333"/>
        </w:rPr>
        <w:t>ș</w:t>
      </w:r>
      <w:r w:rsidRPr="00C10EE4">
        <w:rPr>
          <w:rFonts w:cstheme="minorHAnsi"/>
          <w:color w:val="333333"/>
        </w:rPr>
        <w:t>ti, 2011.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Luca, R.</w:t>
      </w:r>
      <w:r>
        <w:rPr>
          <w:rFonts w:cstheme="minorHAnsi"/>
          <w:b/>
          <w:color w:val="333333"/>
        </w:rPr>
        <w:t xml:space="preserve"> - </w:t>
      </w:r>
      <w:r w:rsidRPr="00C10EE4">
        <w:rPr>
          <w:rFonts w:cstheme="minorHAnsi"/>
          <w:color w:val="333333"/>
        </w:rPr>
        <w:t xml:space="preserve"> Pedodonție, volumul 1, Editura Cerma, București, 2003</w:t>
      </w:r>
    </w:p>
    <w:p w:rsidR="00894B23" w:rsidRPr="00C10EE4" w:rsidRDefault="00894B23" w:rsidP="00894B23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cstheme="minorHAnsi"/>
          <w:color w:val="333333"/>
        </w:rPr>
      </w:pPr>
      <w:r w:rsidRPr="00C10EE4">
        <w:rPr>
          <w:rFonts w:cstheme="minorHAnsi"/>
          <w:b/>
          <w:color w:val="333333"/>
        </w:rPr>
        <w:t>Luca, R.</w:t>
      </w:r>
      <w:r w:rsidRPr="00C10EE4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- </w:t>
      </w:r>
      <w:r w:rsidRPr="00C10EE4">
        <w:rPr>
          <w:rFonts w:cstheme="minorHAnsi"/>
          <w:color w:val="333333"/>
        </w:rPr>
        <w:t>Pedodonție, volumul 2, Editura Cerma, București, 2003</w:t>
      </w:r>
    </w:p>
    <w:p w:rsidR="00894B23" w:rsidRPr="00C10EE4" w:rsidRDefault="00894B23" w:rsidP="00894B23">
      <w:pPr>
        <w:shd w:val="clear" w:color="auto" w:fill="FFFFFF"/>
        <w:spacing w:after="0" w:line="240" w:lineRule="atLeast"/>
        <w:ind w:left="720"/>
        <w:rPr>
          <w:rFonts w:cstheme="minorHAnsi"/>
          <w:color w:val="333333"/>
        </w:rPr>
      </w:pPr>
    </w:p>
    <w:p w:rsidR="00894B23" w:rsidRPr="00DB1126" w:rsidRDefault="00894B23" w:rsidP="00894B23"/>
    <w:p w:rsidR="00894B23" w:rsidRPr="004E224C" w:rsidRDefault="00894B23" w:rsidP="00894B23"/>
    <w:p w:rsidR="00894B23" w:rsidRPr="00883DD6" w:rsidRDefault="00894B23" w:rsidP="00894B23"/>
    <w:p w:rsidR="001E4F86" w:rsidRPr="008A1089" w:rsidRDefault="001E4F86" w:rsidP="008A1089">
      <w:pPr>
        <w:rPr>
          <w:szCs w:val="28"/>
        </w:rPr>
      </w:pPr>
    </w:p>
    <w:sectPr w:rsidR="001E4F86" w:rsidRPr="008A1089" w:rsidSect="0005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38" w:rsidRDefault="004A0F38" w:rsidP="008B239C">
      <w:pPr>
        <w:spacing w:after="0" w:line="240" w:lineRule="auto"/>
      </w:pPr>
      <w:r>
        <w:separator/>
      </w:r>
    </w:p>
  </w:endnote>
  <w:endnote w:type="continuationSeparator" w:id="0">
    <w:p w:rsidR="004A0F38" w:rsidRDefault="004A0F3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Default="004A0F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Pr="007324A4" w:rsidRDefault="004A0F38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4A0F38" w:rsidRPr="00602880" w:rsidRDefault="004A0F38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4A0F38" w:rsidRPr="007324A4" w:rsidRDefault="00154833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4A0F38" w:rsidRPr="007A6529">
        <w:rPr>
          <w:rStyle w:val="Hyperlink"/>
          <w:i/>
        </w:rPr>
        <w:t>www.umfcd.ro</w:t>
      </w:r>
    </w:hyperlink>
  </w:p>
  <w:p w:rsidR="004A0F38" w:rsidRPr="007324A4" w:rsidRDefault="004A0F38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4A0F38" w:rsidRPr="007324A4" w:rsidRDefault="004A0F38" w:rsidP="00637390">
    <w:pPr>
      <w:pStyle w:val="Footer"/>
      <w:rPr>
        <w:i/>
      </w:rPr>
    </w:pPr>
  </w:p>
  <w:p w:rsidR="004A0F38" w:rsidRPr="007324A4" w:rsidRDefault="004A0F38">
    <w:pPr>
      <w:pStyle w:val="Foo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Default="004A0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38" w:rsidRDefault="004A0F38" w:rsidP="008B239C">
      <w:pPr>
        <w:spacing w:after="0" w:line="240" w:lineRule="auto"/>
      </w:pPr>
      <w:r>
        <w:separator/>
      </w:r>
    </w:p>
  </w:footnote>
  <w:footnote w:type="continuationSeparator" w:id="0">
    <w:p w:rsidR="004A0F38" w:rsidRDefault="004A0F3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Default="004A0F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4A0F38" w:rsidRPr="007324A4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4A0F38" w:rsidRDefault="004A0F3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4A0F38" w:rsidRDefault="0015483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154833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F38" w:rsidRDefault="004A0F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1CBB"/>
    <w:multiLevelType w:val="hybridMultilevel"/>
    <w:tmpl w:val="3F4E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33C4"/>
    <w:multiLevelType w:val="hybridMultilevel"/>
    <w:tmpl w:val="C30E8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C7263"/>
    <w:multiLevelType w:val="hybridMultilevel"/>
    <w:tmpl w:val="3D9CE20C"/>
    <w:lvl w:ilvl="0" w:tplc="ABA0C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0687"/>
    <w:rsid w:val="000524E8"/>
    <w:rsid w:val="00060B62"/>
    <w:rsid w:val="000751E5"/>
    <w:rsid w:val="00097F93"/>
    <w:rsid w:val="000A0AFC"/>
    <w:rsid w:val="000A4C2C"/>
    <w:rsid w:val="000B443A"/>
    <w:rsid w:val="000F14B5"/>
    <w:rsid w:val="00113ABD"/>
    <w:rsid w:val="001525EC"/>
    <w:rsid w:val="00154833"/>
    <w:rsid w:val="00157134"/>
    <w:rsid w:val="001929BD"/>
    <w:rsid w:val="001A038C"/>
    <w:rsid w:val="001E4F86"/>
    <w:rsid w:val="002168B2"/>
    <w:rsid w:val="00236A38"/>
    <w:rsid w:val="00257831"/>
    <w:rsid w:val="00286756"/>
    <w:rsid w:val="00292CC1"/>
    <w:rsid w:val="002B5950"/>
    <w:rsid w:val="002B7926"/>
    <w:rsid w:val="002C0B2B"/>
    <w:rsid w:val="002C726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443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A0F38"/>
    <w:rsid w:val="004B7C4B"/>
    <w:rsid w:val="004C23A4"/>
    <w:rsid w:val="004C7AB1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6319C"/>
    <w:rsid w:val="007735A4"/>
    <w:rsid w:val="00782B5B"/>
    <w:rsid w:val="00785798"/>
    <w:rsid w:val="00790D79"/>
    <w:rsid w:val="007B1AAA"/>
    <w:rsid w:val="007B5AE0"/>
    <w:rsid w:val="007D174A"/>
    <w:rsid w:val="007F2AD3"/>
    <w:rsid w:val="007F2CA7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4B23"/>
    <w:rsid w:val="00896A3D"/>
    <w:rsid w:val="008A1089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0590"/>
    <w:rsid w:val="009E691E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210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2E8F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D7AB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2017-11-22T12:51:00Z</cp:lastPrinted>
  <dcterms:created xsi:type="dcterms:W3CDTF">2018-04-17T11:06:00Z</dcterms:created>
  <dcterms:modified xsi:type="dcterms:W3CDTF">2018-04-17T11:06:00Z</dcterms:modified>
</cp:coreProperties>
</file>