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00" w:rsidRPr="00AB6881" w:rsidRDefault="00777A00" w:rsidP="00777A00">
      <w:pPr>
        <w:spacing w:after="0"/>
        <w:jc w:val="right"/>
        <w:rPr>
          <w:rFonts w:ascii="Times New Roman" w:hAnsi="Times New Roman"/>
          <w:b/>
          <w:i/>
          <w:sz w:val="24"/>
        </w:rPr>
      </w:pPr>
      <w:r w:rsidRPr="00AB6881">
        <w:rPr>
          <w:rFonts w:ascii="Times New Roman" w:hAnsi="Times New Roman"/>
          <w:b/>
          <w:i/>
          <w:sz w:val="24"/>
        </w:rPr>
        <w:t>Anexa 3</w:t>
      </w:r>
    </w:p>
    <w:p w:rsidR="00777A00" w:rsidRPr="00AB6881" w:rsidRDefault="00777A00" w:rsidP="00777A00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77A00" w:rsidRDefault="00777A00" w:rsidP="00777A00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77A00" w:rsidRPr="00AB6881" w:rsidRDefault="00777A00" w:rsidP="00777A00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77A00" w:rsidRPr="00AB6881" w:rsidRDefault="00777A00" w:rsidP="00777A00">
      <w:pPr>
        <w:spacing w:after="0"/>
        <w:jc w:val="center"/>
        <w:rPr>
          <w:rFonts w:ascii="Times New Roman" w:hAnsi="Times New Roman"/>
          <w:b/>
          <w:sz w:val="24"/>
        </w:rPr>
      </w:pPr>
      <w:r w:rsidRPr="00AB6881">
        <w:rPr>
          <w:rFonts w:ascii="Times New Roman" w:hAnsi="Times New Roman"/>
          <w:b/>
          <w:sz w:val="24"/>
        </w:rPr>
        <w:t>METODOLOGIE PRIVIND ACORDAREA DE PUN</w:t>
      </w:r>
      <w:r>
        <w:rPr>
          <w:rFonts w:ascii="Times New Roman" w:hAnsi="Times New Roman"/>
          <w:b/>
          <w:sz w:val="24"/>
        </w:rPr>
        <w:t>C</w:t>
      </w:r>
      <w:r w:rsidRPr="00AB6881">
        <w:rPr>
          <w:rFonts w:ascii="Times New Roman" w:hAnsi="Times New Roman"/>
          <w:b/>
          <w:sz w:val="24"/>
        </w:rPr>
        <w:t>TE PENTRU OBȚINEREA BURSEI SPECIALE „</w:t>
      </w:r>
      <w:r w:rsidRPr="00414552">
        <w:rPr>
          <w:rFonts w:ascii="Times New Roman" w:hAnsi="Times New Roman"/>
          <w:b/>
          <w:sz w:val="24"/>
        </w:rPr>
        <w:t>DAN THEODORESCU</w:t>
      </w:r>
      <w:r>
        <w:rPr>
          <w:rFonts w:ascii="Times New Roman" w:hAnsi="Times New Roman"/>
          <w:b/>
          <w:sz w:val="24"/>
        </w:rPr>
        <w:t xml:space="preserve"> </w:t>
      </w:r>
      <w:r w:rsidRPr="00995DDF">
        <w:rPr>
          <w:rFonts w:ascii="Times New Roman" w:hAnsi="Times New Roman"/>
          <w:b/>
          <w:sz w:val="24"/>
        </w:rPr>
        <w:t>&amp; ȘTEFAN MINOVICI</w:t>
      </w:r>
      <w:r w:rsidRPr="00AB6881">
        <w:rPr>
          <w:rFonts w:ascii="Times New Roman" w:hAnsi="Times New Roman"/>
          <w:b/>
          <w:sz w:val="24"/>
        </w:rPr>
        <w:t xml:space="preserve">” PENTRU ACTIVITATE DE DEZVOLTARE PROFESIONALĂ, SOCIALE ȘI CULTURALE </w:t>
      </w: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b/>
          <w:sz w:val="24"/>
        </w:rPr>
      </w:pP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b/>
          <w:sz w:val="24"/>
        </w:rPr>
      </w:pP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b/>
          <w:sz w:val="24"/>
        </w:rPr>
      </w:pPr>
      <w:r w:rsidRPr="00AB6881">
        <w:rPr>
          <w:rFonts w:ascii="Times New Roman" w:hAnsi="Times New Roman"/>
          <w:b/>
          <w:sz w:val="24"/>
        </w:rPr>
        <w:t>CAPITOLUL I. DISPOZIȚII GENERALE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b/>
          <w:sz w:val="24"/>
          <w:szCs w:val="24"/>
        </w:rPr>
        <w:t xml:space="preserve">Art. 1. </w:t>
      </w:r>
      <w:r w:rsidRPr="00AB6881">
        <w:rPr>
          <w:rFonts w:ascii="Times New Roman" w:hAnsi="Times New Roman"/>
          <w:sz w:val="24"/>
          <w:szCs w:val="24"/>
        </w:rPr>
        <w:t>Prezenta Metodologie stabilește criteriile de acordare a punctelor pentru obținerea bursei speciale „</w:t>
      </w:r>
      <w:r w:rsidRPr="00414552">
        <w:rPr>
          <w:rFonts w:ascii="Times New Roman" w:hAnsi="Times New Roman"/>
          <w:sz w:val="24"/>
          <w:szCs w:val="24"/>
        </w:rPr>
        <w:t>Dan Theodorescu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DDF">
        <w:rPr>
          <w:rFonts w:ascii="Times New Roman" w:hAnsi="Times New Roman"/>
          <w:sz w:val="24"/>
          <w:szCs w:val="24"/>
        </w:rPr>
        <w:t>&amp; Ștefan Minovici</w:t>
      </w:r>
      <w:r w:rsidRPr="00AB6881">
        <w:rPr>
          <w:rFonts w:ascii="Times New Roman" w:hAnsi="Times New Roman"/>
          <w:sz w:val="24"/>
          <w:szCs w:val="24"/>
        </w:rPr>
        <w:t xml:space="preserve">” pentru activități de dezvoltare profesională, sociale și culturale pentru studenții Universității de Medicină și Farmacie „Carol Davila” din București, Facultatea de Medicină Dentară și Facultatea de Farmacie. 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 w:rsidRPr="00AB6881">
        <w:rPr>
          <w:rFonts w:ascii="Times New Roman" w:hAnsi="Times New Roman"/>
          <w:sz w:val="24"/>
          <w:szCs w:val="24"/>
        </w:rPr>
        <w:t>Bursele speciale „</w:t>
      </w:r>
      <w:r w:rsidRPr="00414552">
        <w:rPr>
          <w:rFonts w:ascii="Times New Roman" w:hAnsi="Times New Roman"/>
          <w:sz w:val="24"/>
          <w:szCs w:val="24"/>
        </w:rPr>
        <w:t>Dan Theodorescu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DDF">
        <w:rPr>
          <w:rFonts w:ascii="Times New Roman" w:hAnsi="Times New Roman"/>
          <w:sz w:val="24"/>
          <w:szCs w:val="24"/>
        </w:rPr>
        <w:t>&amp; Ștefan Minovici</w:t>
      </w:r>
      <w:r w:rsidRPr="00AB6881">
        <w:rPr>
          <w:rFonts w:ascii="Times New Roman" w:hAnsi="Times New Roman"/>
          <w:sz w:val="24"/>
          <w:szCs w:val="24"/>
        </w:rPr>
        <w:t>” pentru activități de dezvoltare profesională, sociale și culturale sunt finanțate din venituri proprii și pot fi cumulate cu oricare alt tip de bursă finanțat de la bugetul de stat.</w:t>
      </w: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b/>
          <w:sz w:val="24"/>
        </w:rPr>
      </w:pP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b/>
          <w:sz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B6881">
        <w:rPr>
          <w:rFonts w:ascii="Times New Roman" w:hAnsi="Times New Roman"/>
          <w:b/>
          <w:sz w:val="24"/>
        </w:rPr>
        <w:t>CAPITOLUL II. COMISIA DE ATRIBUIRE A BURSELOR SPECIALE „</w:t>
      </w:r>
      <w:r w:rsidRPr="00414552">
        <w:rPr>
          <w:rFonts w:ascii="Times New Roman" w:hAnsi="Times New Roman"/>
          <w:b/>
          <w:sz w:val="24"/>
        </w:rPr>
        <w:t>DAN THEODORESCU</w:t>
      </w:r>
      <w:r>
        <w:rPr>
          <w:rFonts w:ascii="Times New Roman" w:hAnsi="Times New Roman"/>
          <w:b/>
          <w:sz w:val="24"/>
        </w:rPr>
        <w:t xml:space="preserve"> </w:t>
      </w:r>
      <w:r w:rsidRPr="003A2CF4">
        <w:rPr>
          <w:rFonts w:ascii="Times New Roman" w:hAnsi="Times New Roman"/>
          <w:b/>
          <w:sz w:val="24"/>
        </w:rPr>
        <w:t>&amp; ȘTEFAN MINOVICI</w:t>
      </w:r>
      <w:r w:rsidRPr="00AB6881">
        <w:rPr>
          <w:rFonts w:ascii="Times New Roman" w:hAnsi="Times New Roman"/>
          <w:b/>
          <w:sz w:val="24"/>
        </w:rPr>
        <w:t>” PENTRU ACTIVITATE DE DEZVOLTARE PROFESIONALĂ, SOCIALE ȘI CULTURALE</w:t>
      </w:r>
    </w:p>
    <w:p w:rsidR="00777A00" w:rsidRPr="00AB6881" w:rsidRDefault="00777A00" w:rsidP="00777A00">
      <w:pPr>
        <w:shd w:val="clear" w:color="auto" w:fill="FFFFFF"/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 w:rsidRPr="00AB6881">
        <w:rPr>
          <w:rFonts w:ascii="Times New Roman" w:hAnsi="Times New Roman"/>
          <w:sz w:val="24"/>
          <w:szCs w:val="24"/>
        </w:rPr>
        <w:t>Componența Comisiei de Atribuire a burselor speciale „</w:t>
      </w:r>
      <w:r w:rsidRPr="00414552">
        <w:rPr>
          <w:rFonts w:ascii="Times New Roman" w:hAnsi="Times New Roman"/>
          <w:sz w:val="24"/>
          <w:szCs w:val="24"/>
        </w:rPr>
        <w:t>Dan Theodorescu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DDF">
        <w:rPr>
          <w:rFonts w:ascii="Times New Roman" w:hAnsi="Times New Roman"/>
          <w:sz w:val="24"/>
          <w:szCs w:val="24"/>
        </w:rPr>
        <w:t>&amp; Ștefan Minovici</w:t>
      </w:r>
      <w:r w:rsidRPr="00AB6881">
        <w:rPr>
          <w:rFonts w:ascii="Times New Roman" w:hAnsi="Times New Roman"/>
          <w:sz w:val="24"/>
          <w:szCs w:val="24"/>
        </w:rPr>
        <w:t>” pentru activități de dezvoltare profesională, sociale și culturale, la nivelul Universității de Medicină şi Farmacie ,,Carol Davila” din București, este următoarea:</w:t>
      </w:r>
    </w:p>
    <w:p w:rsidR="00777A00" w:rsidRPr="00995DDF" w:rsidRDefault="00777A00" w:rsidP="00777A00">
      <w:pPr>
        <w:pStyle w:val="ListParagraph"/>
        <w:numPr>
          <w:ilvl w:val="0"/>
          <w:numId w:val="1"/>
        </w:numPr>
        <w:shd w:val="clear" w:color="auto" w:fill="FFFFFF"/>
        <w:spacing w:before="240" w:after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95DDF">
        <w:rPr>
          <w:rFonts w:ascii="Times New Roman" w:hAnsi="Times New Roman"/>
          <w:sz w:val="24"/>
          <w:szCs w:val="24"/>
        </w:rPr>
        <w:t>Președinte</w:t>
      </w:r>
      <w:proofErr w:type="spellEnd"/>
      <w:r w:rsidRPr="00995DD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995DDF">
        <w:rPr>
          <w:rFonts w:ascii="Times New Roman" w:hAnsi="Times New Roman"/>
          <w:sz w:val="24"/>
          <w:szCs w:val="24"/>
        </w:rPr>
        <w:t>Prorector</w:t>
      </w:r>
      <w:proofErr w:type="spellEnd"/>
      <w:r w:rsidRPr="00995DD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95DDF">
        <w:rPr>
          <w:rFonts w:ascii="Times New Roman" w:hAnsi="Times New Roman"/>
          <w:sz w:val="24"/>
          <w:szCs w:val="24"/>
        </w:rPr>
        <w:t>probleme</w:t>
      </w:r>
      <w:proofErr w:type="spellEnd"/>
      <w:r w:rsidRPr="00995D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DF">
        <w:rPr>
          <w:rFonts w:ascii="Times New Roman" w:hAnsi="Times New Roman"/>
          <w:sz w:val="24"/>
          <w:szCs w:val="24"/>
        </w:rPr>
        <w:t>studențești</w:t>
      </w:r>
      <w:proofErr w:type="spellEnd"/>
    </w:p>
    <w:p w:rsidR="00777A00" w:rsidRPr="00414552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14552">
        <w:rPr>
          <w:rFonts w:ascii="Times New Roman" w:hAnsi="Times New Roman"/>
          <w:b/>
          <w:sz w:val="24"/>
          <w:szCs w:val="24"/>
        </w:rPr>
        <w:t xml:space="preserve">Membri: </w:t>
      </w:r>
    </w:p>
    <w:p w:rsidR="00777A00" w:rsidRDefault="00777A00" w:rsidP="00777A0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Prodecan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B6881">
        <w:rPr>
          <w:rFonts w:ascii="Times New Roman" w:hAnsi="Times New Roman"/>
          <w:sz w:val="24"/>
          <w:szCs w:val="24"/>
        </w:rPr>
        <w:t>probleme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studențești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B6881">
        <w:rPr>
          <w:rFonts w:ascii="Times New Roman" w:hAnsi="Times New Roman"/>
          <w:sz w:val="24"/>
          <w:szCs w:val="24"/>
        </w:rPr>
        <w:t>numit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Președintele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Comisiei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</w:p>
    <w:p w:rsidR="00777A00" w:rsidRDefault="00777A00" w:rsidP="00777A0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1E62">
        <w:rPr>
          <w:rFonts w:ascii="Times New Roman" w:hAnsi="Times New Roman"/>
          <w:sz w:val="24"/>
          <w:szCs w:val="24"/>
        </w:rPr>
        <w:t>Secretar</w:t>
      </w:r>
      <w:proofErr w:type="spellEnd"/>
      <w:r w:rsidRPr="00431E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552">
        <w:rPr>
          <w:rFonts w:ascii="Times New Roman" w:hAnsi="Times New Roman"/>
          <w:sz w:val="24"/>
          <w:szCs w:val="24"/>
        </w:rPr>
        <w:t>Șef</w:t>
      </w:r>
      <w:proofErr w:type="spellEnd"/>
      <w:r w:rsidRPr="00431E62">
        <w:rPr>
          <w:rFonts w:ascii="Times New Roman" w:hAnsi="Times New Roman"/>
          <w:sz w:val="24"/>
          <w:szCs w:val="24"/>
        </w:rPr>
        <w:t xml:space="preserve"> UMF</w:t>
      </w:r>
    </w:p>
    <w:p w:rsidR="00777A00" w:rsidRPr="00FE194A" w:rsidRDefault="00777A00" w:rsidP="00777A0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 General Secretariat UMF</w:t>
      </w:r>
    </w:p>
    <w:p w:rsidR="00777A00" w:rsidRPr="00AB6881" w:rsidRDefault="00777A00" w:rsidP="00777A0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Responsabil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dezvoltare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instituțională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B6881">
        <w:rPr>
          <w:rFonts w:ascii="Times New Roman" w:hAnsi="Times New Roman"/>
          <w:sz w:val="24"/>
          <w:szCs w:val="24"/>
        </w:rPr>
        <w:t>numit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Președintele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Comisiei</w:t>
      </w:r>
      <w:proofErr w:type="spellEnd"/>
    </w:p>
    <w:p w:rsidR="00777A00" w:rsidRPr="00AB6881" w:rsidRDefault="00777A00" w:rsidP="00777A0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Responsabil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activități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academice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B6881">
        <w:rPr>
          <w:rFonts w:ascii="Times New Roman" w:hAnsi="Times New Roman"/>
          <w:sz w:val="24"/>
          <w:szCs w:val="24"/>
        </w:rPr>
        <w:t>numit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Președintele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Comisiei</w:t>
      </w:r>
      <w:proofErr w:type="spellEnd"/>
    </w:p>
    <w:p w:rsidR="00777A00" w:rsidRPr="00AB6881" w:rsidRDefault="00777A00" w:rsidP="00777A0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Responsabil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activități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financiare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B6881">
        <w:rPr>
          <w:rFonts w:ascii="Times New Roman" w:hAnsi="Times New Roman"/>
          <w:sz w:val="24"/>
          <w:szCs w:val="24"/>
        </w:rPr>
        <w:t>numit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Președintele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Comisiei</w:t>
      </w:r>
      <w:proofErr w:type="spellEnd"/>
    </w:p>
    <w:p w:rsidR="00777A00" w:rsidRPr="00AB6881" w:rsidRDefault="00777A00" w:rsidP="00777A0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Student </w:t>
      </w:r>
      <w:proofErr w:type="spellStart"/>
      <w:r w:rsidRPr="00AB6881">
        <w:rPr>
          <w:rFonts w:ascii="Times New Roman" w:hAnsi="Times New Roman"/>
          <w:sz w:val="24"/>
          <w:szCs w:val="24"/>
        </w:rPr>
        <w:t>reprezentant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B6881">
        <w:rPr>
          <w:rFonts w:ascii="Times New Roman" w:hAnsi="Times New Roman"/>
          <w:sz w:val="24"/>
          <w:szCs w:val="24"/>
        </w:rPr>
        <w:t>Facultății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Medicină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Dentară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B6881">
        <w:rPr>
          <w:rFonts w:ascii="Times New Roman" w:hAnsi="Times New Roman"/>
          <w:sz w:val="24"/>
          <w:szCs w:val="24"/>
        </w:rPr>
        <w:t>numit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AB6881">
        <w:rPr>
          <w:rFonts w:ascii="Times New Roman" w:hAnsi="Times New Roman"/>
          <w:sz w:val="24"/>
          <w:szCs w:val="24"/>
        </w:rPr>
        <w:t>Medicină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Dentară</w:t>
      </w:r>
      <w:proofErr w:type="spellEnd"/>
    </w:p>
    <w:p w:rsidR="00777A00" w:rsidRPr="00995DDF" w:rsidRDefault="00777A00" w:rsidP="00777A0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Student </w:t>
      </w:r>
      <w:proofErr w:type="spellStart"/>
      <w:r w:rsidRPr="00AB6881">
        <w:rPr>
          <w:rFonts w:ascii="Times New Roman" w:hAnsi="Times New Roman"/>
          <w:sz w:val="24"/>
          <w:szCs w:val="24"/>
        </w:rPr>
        <w:t>reprezentant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B6881">
        <w:rPr>
          <w:rFonts w:ascii="Times New Roman" w:hAnsi="Times New Roman"/>
          <w:sz w:val="24"/>
          <w:szCs w:val="24"/>
        </w:rPr>
        <w:t>Facultății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Farmacie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B6881">
        <w:rPr>
          <w:rFonts w:ascii="Times New Roman" w:hAnsi="Times New Roman"/>
          <w:sz w:val="24"/>
          <w:szCs w:val="24"/>
        </w:rPr>
        <w:t>numit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AB6881">
        <w:rPr>
          <w:rFonts w:ascii="Times New Roman" w:hAnsi="Times New Roman"/>
          <w:sz w:val="24"/>
          <w:szCs w:val="24"/>
        </w:rPr>
        <w:t>Farmacie</w:t>
      </w:r>
      <w:proofErr w:type="spellEnd"/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Art. 4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Comisia de Atribuire a B</w:t>
      </w:r>
      <w:r w:rsidRPr="00AB6881">
        <w:rPr>
          <w:rFonts w:ascii="Times New Roman" w:hAnsi="Times New Roman"/>
          <w:sz w:val="24"/>
          <w:szCs w:val="24"/>
        </w:rPr>
        <w:t>urselor:</w:t>
      </w:r>
    </w:p>
    <w:p w:rsidR="00777A00" w:rsidRPr="00AB6881" w:rsidRDefault="00777A00" w:rsidP="00777A00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propune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anual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spre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aprobarea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Consiliului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Administrație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B6881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calendarul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numărul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burse, </w:t>
      </w:r>
      <w:proofErr w:type="spellStart"/>
      <w:r w:rsidRPr="00AB6881">
        <w:rPr>
          <w:rFonts w:ascii="Times New Roman" w:hAnsi="Times New Roman"/>
          <w:sz w:val="24"/>
          <w:szCs w:val="24"/>
        </w:rPr>
        <w:t>precum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cuantumul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acestora</w:t>
      </w:r>
      <w:proofErr w:type="spellEnd"/>
      <w:r w:rsidRPr="00AB6881">
        <w:rPr>
          <w:rFonts w:ascii="Times New Roman" w:hAnsi="Times New Roman"/>
          <w:sz w:val="24"/>
          <w:szCs w:val="24"/>
        </w:rPr>
        <w:t>;</w:t>
      </w:r>
    </w:p>
    <w:p w:rsidR="00777A00" w:rsidRPr="00AB6881" w:rsidRDefault="00777A00" w:rsidP="00777A00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realizează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calendarul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dezvoltare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profesională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socială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culturală</w:t>
      </w:r>
      <w:proofErr w:type="spellEnd"/>
      <w:r w:rsidRPr="00AB6881">
        <w:rPr>
          <w:rFonts w:ascii="Times New Roman" w:hAnsi="Times New Roman"/>
          <w:sz w:val="24"/>
          <w:szCs w:val="24"/>
        </w:rPr>
        <w:t>;</w:t>
      </w:r>
    </w:p>
    <w:p w:rsidR="00777A00" w:rsidRPr="00AB6881" w:rsidRDefault="00777A00" w:rsidP="00777A00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asigură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publicarea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tuturor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informațiilor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referitoare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B6881">
        <w:rPr>
          <w:rFonts w:ascii="Times New Roman" w:hAnsi="Times New Roman"/>
          <w:sz w:val="24"/>
          <w:szCs w:val="24"/>
        </w:rPr>
        <w:t>Bursele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speciale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„</w:t>
      </w:r>
      <w:r w:rsidRPr="00414552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Pr="00414552">
        <w:rPr>
          <w:rFonts w:ascii="Times New Roman" w:hAnsi="Times New Roman"/>
          <w:sz w:val="24"/>
          <w:szCs w:val="24"/>
        </w:rPr>
        <w:t>Theodorescu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A2CF4">
        <w:rPr>
          <w:rFonts w:ascii="Times New Roman" w:hAnsi="Times New Roman"/>
          <w:sz w:val="24"/>
          <w:szCs w:val="24"/>
        </w:rPr>
        <w:t xml:space="preserve">&amp; </w:t>
      </w:r>
      <w:proofErr w:type="spellStart"/>
      <w:r w:rsidRPr="003A2CF4">
        <w:rPr>
          <w:rFonts w:ascii="Times New Roman" w:hAnsi="Times New Roman"/>
          <w:sz w:val="24"/>
          <w:szCs w:val="24"/>
        </w:rPr>
        <w:t>Ștefan</w:t>
      </w:r>
      <w:proofErr w:type="spellEnd"/>
      <w:r w:rsidRPr="003A2C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CF4">
        <w:rPr>
          <w:rFonts w:ascii="Times New Roman" w:hAnsi="Times New Roman"/>
          <w:sz w:val="24"/>
          <w:szCs w:val="24"/>
        </w:rPr>
        <w:t>Minovici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activități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dezvoltare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profesională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sociale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culturale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website-</w:t>
      </w:r>
      <w:proofErr w:type="spellStart"/>
      <w:r w:rsidRPr="00AB6881">
        <w:rPr>
          <w:rFonts w:ascii="Times New Roman" w:hAnsi="Times New Roman"/>
          <w:sz w:val="24"/>
          <w:szCs w:val="24"/>
        </w:rPr>
        <w:t>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AB6881">
        <w:rPr>
          <w:rFonts w:ascii="Times New Roman" w:hAnsi="Times New Roman"/>
          <w:sz w:val="24"/>
          <w:szCs w:val="24"/>
        </w:rPr>
        <w:t>;</w:t>
      </w:r>
    </w:p>
    <w:p w:rsidR="00777A00" w:rsidRPr="00AB6881" w:rsidRDefault="00777A00" w:rsidP="00777A00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AB6881">
        <w:rPr>
          <w:rFonts w:ascii="Times New Roman" w:hAnsi="Times New Roman"/>
          <w:sz w:val="24"/>
          <w:szCs w:val="24"/>
        </w:rPr>
        <w:t>întrunește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B6881">
        <w:rPr>
          <w:rFonts w:ascii="Times New Roman" w:hAnsi="Times New Roman"/>
          <w:sz w:val="24"/>
          <w:szCs w:val="24"/>
        </w:rPr>
        <w:t>analiza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dosarele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candidaților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întocmește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punctajele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candidaților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conformitate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B6881">
        <w:rPr>
          <w:rFonts w:ascii="Times New Roman" w:hAnsi="Times New Roman"/>
          <w:sz w:val="24"/>
          <w:szCs w:val="24"/>
        </w:rPr>
        <w:t>prezenta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metodologie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realizează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clasamentele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respectând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pașii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B6881">
        <w:rPr>
          <w:rFonts w:ascii="Times New Roman" w:hAnsi="Times New Roman"/>
          <w:sz w:val="24"/>
          <w:szCs w:val="24"/>
        </w:rPr>
        <w:t xml:space="preserve"> din</w:t>
      </w:r>
      <w:r w:rsidRPr="00414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b/>
          <w:i/>
          <w:sz w:val="24"/>
          <w:szCs w:val="24"/>
        </w:rPr>
        <w:t>Capitolul</w:t>
      </w:r>
      <w:proofErr w:type="spellEnd"/>
      <w:r w:rsidRPr="00AB688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AB6881">
        <w:rPr>
          <w:rFonts w:ascii="Times New Roman" w:hAnsi="Times New Roman"/>
          <w:b/>
          <w:i/>
          <w:sz w:val="24"/>
          <w:szCs w:val="24"/>
        </w:rPr>
        <w:t>V</w:t>
      </w:r>
      <w:r w:rsidRPr="00B76919">
        <w:rPr>
          <w:rFonts w:ascii="Times New Roman" w:hAnsi="Times New Roman"/>
          <w:sz w:val="24"/>
          <w:szCs w:val="24"/>
        </w:rPr>
        <w:t>,</w:t>
      </w:r>
      <w:r w:rsidRPr="00AB688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6881">
        <w:rPr>
          <w:rFonts w:ascii="Times New Roman" w:hAnsi="Times New Roman"/>
          <w:sz w:val="24"/>
          <w:szCs w:val="24"/>
        </w:rPr>
        <w:t xml:space="preserve"> al</w:t>
      </w:r>
      <w:proofErr w:type="gram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prezentei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Metodologii</w:t>
      </w:r>
      <w:proofErr w:type="spellEnd"/>
      <w:r w:rsidRPr="00AB6881">
        <w:rPr>
          <w:rFonts w:ascii="Times New Roman" w:hAnsi="Times New Roman"/>
          <w:sz w:val="24"/>
          <w:szCs w:val="24"/>
        </w:rPr>
        <w:t>;</w:t>
      </w:r>
    </w:p>
    <w:p w:rsidR="00777A00" w:rsidRPr="00AB6881" w:rsidRDefault="00777A00" w:rsidP="00777A00">
      <w:pPr>
        <w:pStyle w:val="ListParagraph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soluționează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contestațiile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. </w:t>
      </w:r>
    </w:p>
    <w:p w:rsidR="00777A00" w:rsidRDefault="00777A00" w:rsidP="00777A00">
      <w:pPr>
        <w:jc w:val="both"/>
        <w:rPr>
          <w:rFonts w:ascii="Times New Roman" w:hAnsi="Times New Roman"/>
          <w:b/>
          <w:sz w:val="24"/>
        </w:rPr>
      </w:pPr>
    </w:p>
    <w:p w:rsidR="00777A00" w:rsidRPr="00AB6881" w:rsidRDefault="00777A00" w:rsidP="00777A00">
      <w:pPr>
        <w:jc w:val="both"/>
        <w:rPr>
          <w:rFonts w:ascii="Times New Roman" w:hAnsi="Times New Roman"/>
          <w:b/>
          <w:sz w:val="24"/>
        </w:rPr>
      </w:pPr>
    </w:p>
    <w:p w:rsidR="00777A00" w:rsidRPr="00AB6881" w:rsidRDefault="00777A00" w:rsidP="00777A00">
      <w:pPr>
        <w:jc w:val="both"/>
        <w:rPr>
          <w:rFonts w:ascii="Times New Roman" w:hAnsi="Times New Roman"/>
          <w:b/>
          <w:sz w:val="24"/>
        </w:rPr>
      </w:pPr>
      <w:r w:rsidRPr="00AB6881">
        <w:rPr>
          <w:rFonts w:ascii="Times New Roman" w:hAnsi="Times New Roman"/>
          <w:b/>
          <w:sz w:val="24"/>
        </w:rPr>
        <w:t>CAPITOLUL III. DESFĂŞURAREA ACTIVITĂŢILOR DE DEZVOLTARE PROFESIONALĂ, SOCIALE ŞI CULTURALE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Art. 5</w:t>
      </w:r>
      <w:r w:rsidRPr="00AB688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AB6881">
        <w:rPr>
          <w:rFonts w:ascii="Times New Roman" w:eastAsia="Times New Roman" w:hAnsi="Times New Roman"/>
          <w:sz w:val="24"/>
          <w:szCs w:val="24"/>
        </w:rPr>
        <w:t>Studenții Universității pot primi puncte pent</w:t>
      </w:r>
      <w:r>
        <w:rPr>
          <w:rFonts w:ascii="Times New Roman" w:eastAsia="Times New Roman" w:hAnsi="Times New Roman"/>
          <w:sz w:val="24"/>
          <w:szCs w:val="24"/>
        </w:rPr>
        <w:t>ru obținerea Burselor speciale „</w:t>
      </w:r>
      <w:r w:rsidRPr="00414552">
        <w:rPr>
          <w:rFonts w:ascii="Times New Roman" w:hAnsi="Times New Roman"/>
          <w:sz w:val="24"/>
          <w:szCs w:val="24"/>
        </w:rPr>
        <w:t>Dan Theodorescu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DDF">
        <w:rPr>
          <w:rFonts w:ascii="Times New Roman" w:hAnsi="Times New Roman"/>
          <w:sz w:val="24"/>
          <w:szCs w:val="24"/>
        </w:rPr>
        <w:t>&amp; Ștefan Minovici</w:t>
      </w:r>
      <w:r w:rsidRPr="00AB6881">
        <w:rPr>
          <w:rFonts w:ascii="Times New Roman" w:eastAsia="Times New Roman" w:hAnsi="Times New Roman"/>
          <w:sz w:val="24"/>
          <w:szCs w:val="24"/>
        </w:rPr>
        <w:t>” pentru activități de dezvoltare profesională, sociale şi culturale prin înscrierea şi participarea la activitățile din Calendarul Activităților Universității.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B6881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AB688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</w:p>
    <w:p w:rsidR="00777A00" w:rsidRPr="00AB6881" w:rsidRDefault="00777A00" w:rsidP="00777A00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Activitățile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dezvoltare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profesională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studenților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Universității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se pot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desfășura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toate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domeniile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activitate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Universității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funcţie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necesități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Acestea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vor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publicate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Calendarul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Activităților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făcut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public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site-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> </w:t>
      </w:r>
      <w:hyperlink r:id="rId7" w:history="1">
        <w:r w:rsidRPr="00942E53">
          <w:rPr>
            <w:rFonts w:ascii="Times New Roman" w:eastAsia="Times New Roman" w:hAnsi="Times New Roman"/>
            <w:sz w:val="24"/>
            <w:szCs w:val="24"/>
          </w:rPr>
          <w:t>www.umfcd.ro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42E5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B6881">
        <w:rPr>
          <w:rFonts w:ascii="Times New Roman" w:eastAsia="Times New Roman" w:hAnsi="Times New Roman"/>
          <w:sz w:val="24"/>
          <w:szCs w:val="24"/>
        </w:rPr>
        <w:t xml:space="preserve">la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începutul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fiecărui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an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universitar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777A00" w:rsidRPr="00AB6881" w:rsidRDefault="00777A00" w:rsidP="00777A00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Activitățile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din calendar pot fi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organizate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Universitate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asociații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studențești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reprezentative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 w:rsidRPr="00AB6881">
        <w:rPr>
          <w:rFonts w:ascii="Times New Roman" w:eastAsia="Times New Roman" w:hAnsi="Times New Roman"/>
          <w:sz w:val="24"/>
          <w:szCs w:val="24"/>
        </w:rPr>
        <w:t xml:space="preserve"> de la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fiecare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facultate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Societatea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Studenților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Farmaciști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București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Liga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Studenților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4552">
        <w:rPr>
          <w:rFonts w:ascii="Times New Roman" w:eastAsia="Times New Roman" w:hAnsi="Times New Roman"/>
          <w:sz w:val="24"/>
          <w:szCs w:val="24"/>
        </w:rPr>
        <w:t>Medicină</w:t>
      </w:r>
      <w:proofErr w:type="spellEnd"/>
      <w:r w:rsidRPr="004145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4552">
        <w:rPr>
          <w:rFonts w:ascii="Times New Roman" w:eastAsia="Times New Roman" w:hAnsi="Times New Roman"/>
          <w:sz w:val="24"/>
          <w:szCs w:val="24"/>
        </w:rPr>
        <w:t>Dentară</w:t>
      </w:r>
      <w:proofErr w:type="spellEnd"/>
      <w:r w:rsidRPr="004145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4552">
        <w:rPr>
          <w:rFonts w:ascii="Times New Roman" w:eastAsia="Times New Roman" w:hAnsi="Times New Roman"/>
          <w:sz w:val="24"/>
          <w:szCs w:val="24"/>
        </w:rPr>
        <w:t>București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777A00" w:rsidRPr="00AB6881" w:rsidRDefault="00777A00" w:rsidP="00777A00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Orice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modificare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structura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Calendarului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Activităților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anunțată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website.</w:t>
      </w:r>
    </w:p>
    <w:p w:rsidR="00777A00" w:rsidRPr="00AB6881" w:rsidRDefault="00777A00" w:rsidP="00777A00">
      <w:pPr>
        <w:pStyle w:val="ListParagraph"/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6881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</w:rPr>
        <w:t>Art. 7</w:t>
      </w:r>
      <w:r w:rsidRPr="00AB688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AB6881">
        <w:rPr>
          <w:rFonts w:ascii="Times New Roman" w:eastAsia="Times New Roman" w:hAnsi="Times New Roman"/>
          <w:sz w:val="24"/>
          <w:szCs w:val="24"/>
        </w:rPr>
        <w:t>Pentru aceste activități stude</w:t>
      </w:r>
      <w:r>
        <w:rPr>
          <w:rFonts w:ascii="Times New Roman" w:eastAsia="Times New Roman" w:hAnsi="Times New Roman"/>
          <w:sz w:val="24"/>
          <w:szCs w:val="24"/>
        </w:rPr>
        <w:t xml:space="preserve">nții vor primi puncte speciale, </w:t>
      </w:r>
      <w:r w:rsidRPr="00AB6881">
        <w:rPr>
          <w:rFonts w:ascii="Times New Roman" w:eastAsia="Times New Roman" w:hAnsi="Times New Roman"/>
          <w:sz w:val="24"/>
          <w:szCs w:val="24"/>
        </w:rPr>
        <w:t>ce vor putea fi utilizate la înscrierea pentru</w:t>
      </w:r>
      <w:r>
        <w:rPr>
          <w:rFonts w:ascii="Times New Roman" w:eastAsia="Times New Roman" w:hAnsi="Times New Roman"/>
          <w:sz w:val="24"/>
          <w:szCs w:val="24"/>
        </w:rPr>
        <w:t xml:space="preserve"> obținerea unei burse speciale „</w:t>
      </w:r>
      <w:r w:rsidRPr="00414552">
        <w:rPr>
          <w:rFonts w:ascii="Times New Roman" w:hAnsi="Times New Roman"/>
          <w:sz w:val="24"/>
          <w:szCs w:val="24"/>
        </w:rPr>
        <w:t>Dan Theodorescu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DDF">
        <w:rPr>
          <w:rFonts w:ascii="Times New Roman" w:hAnsi="Times New Roman"/>
          <w:sz w:val="24"/>
          <w:szCs w:val="24"/>
        </w:rPr>
        <w:t>&amp; Ștefan Minovici</w:t>
      </w:r>
      <w:r w:rsidRPr="00AB6881"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B6881">
        <w:rPr>
          <w:rFonts w:ascii="Times New Roman" w:eastAsia="Times New Roman" w:hAnsi="Times New Roman"/>
          <w:sz w:val="24"/>
          <w:szCs w:val="24"/>
        </w:rPr>
        <w:t xml:space="preserve"> pentru activități de dezvoltare profesională, sociale şi culturale;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6881">
        <w:rPr>
          <w:rFonts w:ascii="Times New Roman" w:eastAsia="Times New Roman" w:hAnsi="Times New Roman"/>
          <w:sz w:val="24"/>
          <w:szCs w:val="24"/>
        </w:rPr>
        <w:t>  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Art. 8</w:t>
      </w:r>
      <w:r w:rsidRPr="00AB688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AB6881">
        <w:rPr>
          <w:rFonts w:ascii="Times New Roman" w:eastAsia="Times New Roman" w:hAnsi="Times New Roman"/>
          <w:sz w:val="24"/>
          <w:szCs w:val="24"/>
        </w:rPr>
        <w:t xml:space="preserve">Pentru înscrierea în cadrul activităților de dezvoltare profesională studenții vor respecta cerințele de înscriere anunțate pentru fiecare activitate din Calendarul de Activități pe website-ul </w:t>
      </w:r>
      <w:r>
        <w:fldChar w:fldCharType="begin"/>
      </w:r>
      <w:r>
        <w:instrText xml:space="preserve"> HYPERLINK "http://www.umfcd.ro" </w:instrText>
      </w:r>
      <w:r>
        <w:fldChar w:fldCharType="separate"/>
      </w:r>
      <w:r w:rsidRPr="00AB6881">
        <w:rPr>
          <w:rStyle w:val="Hyperlink"/>
          <w:rFonts w:ascii="Times New Roman" w:eastAsia="Times New Roman" w:hAnsi="Times New Roman"/>
          <w:sz w:val="24"/>
          <w:szCs w:val="24"/>
        </w:rPr>
        <w:t>www.umfcd.ro</w:t>
      </w:r>
      <w:r>
        <w:rPr>
          <w:rStyle w:val="Hyperlink"/>
          <w:rFonts w:ascii="Times New Roman" w:eastAsia="Times New Roman" w:hAnsi="Times New Roman"/>
          <w:sz w:val="24"/>
          <w:szCs w:val="24"/>
        </w:rPr>
        <w:fldChar w:fldCharType="end"/>
      </w:r>
      <w:r w:rsidRPr="00AB6881">
        <w:rPr>
          <w:rFonts w:ascii="Times New Roman" w:eastAsia="Times New Roman" w:hAnsi="Times New Roman"/>
          <w:sz w:val="24"/>
          <w:szCs w:val="24"/>
        </w:rPr>
        <w:t xml:space="preserve"> sau pe canalele de comunicare ale asociațiilor studențești reprezentative.</w:t>
      </w:r>
      <w:r w:rsidRPr="00AB688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Art. 9</w:t>
      </w:r>
      <w:r w:rsidRPr="00AB688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</w:p>
    <w:p w:rsidR="00777A00" w:rsidRPr="009A0588" w:rsidRDefault="00777A00" w:rsidP="00777A00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B6881">
        <w:rPr>
          <w:rFonts w:ascii="Times New Roman" w:eastAsia="Times New Roman" w:hAnsi="Times New Roman"/>
          <w:bCs/>
          <w:sz w:val="24"/>
          <w:szCs w:val="24"/>
        </w:rPr>
        <w:t>Fiecare</w:t>
      </w:r>
      <w:proofErr w:type="spellEnd"/>
      <w:r w:rsidRPr="00AB688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bCs/>
          <w:sz w:val="24"/>
          <w:szCs w:val="24"/>
        </w:rPr>
        <w:t>asociație</w:t>
      </w:r>
      <w:proofErr w:type="spellEnd"/>
      <w:r w:rsidRPr="00AB688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bCs/>
          <w:sz w:val="24"/>
          <w:szCs w:val="24"/>
        </w:rPr>
        <w:t>studențeasca</w:t>
      </w:r>
      <w:proofErr w:type="spellEnd"/>
      <w:r w:rsidRPr="00AB688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bCs/>
          <w:sz w:val="24"/>
          <w:szCs w:val="24"/>
        </w:rPr>
        <w:t>reprezentativă</w:t>
      </w:r>
      <w:proofErr w:type="spellEnd"/>
      <w:r w:rsidRPr="00AB6881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Societatea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Studenților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Farmaciști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București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Liga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Studenților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Medicina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Dentara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București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>)</w:t>
      </w:r>
      <w:r w:rsidRPr="00AB688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avea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câte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un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Supervizor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partea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Universității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desemnat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Comisia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</w:t>
      </w:r>
      <w:r w:rsidRPr="009A0588">
        <w:rPr>
          <w:rFonts w:ascii="Times New Roman" w:eastAsia="Times New Roman" w:hAnsi="Times New Roman"/>
          <w:sz w:val="24"/>
          <w:szCs w:val="24"/>
        </w:rPr>
        <w:t>tribuire</w:t>
      </w:r>
      <w:proofErr w:type="spellEnd"/>
      <w:r w:rsidRPr="009A0588">
        <w:rPr>
          <w:rFonts w:ascii="Times New Roman" w:eastAsia="Times New Roman" w:hAnsi="Times New Roman"/>
          <w:sz w:val="24"/>
          <w:szCs w:val="24"/>
        </w:rPr>
        <w:t>.</w:t>
      </w:r>
    </w:p>
    <w:p w:rsidR="00777A00" w:rsidRPr="00AB6881" w:rsidRDefault="00777A00" w:rsidP="00777A00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Supervizorul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asigura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toate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condițiile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necesare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desfășurarea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activităților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>.</w:t>
      </w:r>
    </w:p>
    <w:p w:rsidR="00777A00" w:rsidRPr="00AB6881" w:rsidRDefault="00777A00" w:rsidP="00777A00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Supervizorul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stabili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grupurile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studenți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necesare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sarcinile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trebuie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îndeplinite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>.</w:t>
      </w:r>
    </w:p>
    <w:p w:rsidR="00777A00" w:rsidRPr="00AB6881" w:rsidRDefault="00777A00" w:rsidP="00777A00">
      <w:pPr>
        <w:pStyle w:val="ListParagraph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Supervizorul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certifica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listă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tabel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studenții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care au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participat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activități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>.</w:t>
      </w: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Art. 10</w:t>
      </w:r>
      <w:r w:rsidRPr="00AB688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AB6881">
        <w:rPr>
          <w:rFonts w:ascii="Times New Roman" w:eastAsia="Times New Roman" w:hAnsi="Times New Roman"/>
          <w:sz w:val="24"/>
          <w:szCs w:val="24"/>
        </w:rPr>
        <w:t>Tipul de participare al studenților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B6881">
        <w:rPr>
          <w:rFonts w:ascii="Times New Roman" w:eastAsia="Times New Roman" w:hAnsi="Times New Roman"/>
          <w:sz w:val="24"/>
          <w:szCs w:val="24"/>
        </w:rPr>
        <w:t xml:space="preserve"> în cadrul activităților de dezvoltare profesională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B6881">
        <w:rPr>
          <w:rFonts w:ascii="Times New Roman" w:eastAsia="Times New Roman" w:hAnsi="Times New Roman"/>
          <w:sz w:val="24"/>
          <w:szCs w:val="24"/>
        </w:rPr>
        <w:t xml:space="preserve"> va fi de:</w:t>
      </w:r>
    </w:p>
    <w:p w:rsidR="00777A00" w:rsidRPr="00AB6881" w:rsidRDefault="00777A00" w:rsidP="00777A00">
      <w:pPr>
        <w:pStyle w:val="ListParagraph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B6881">
        <w:rPr>
          <w:rFonts w:ascii="Times New Roman" w:eastAsia="Times New Roman" w:hAnsi="Times New Roman"/>
          <w:b/>
          <w:i/>
          <w:sz w:val="24"/>
          <w:szCs w:val="24"/>
        </w:rPr>
        <w:t>Coordonator</w:t>
      </w:r>
      <w:proofErr w:type="spellEnd"/>
      <w:r w:rsidRPr="00AB6881">
        <w:rPr>
          <w:rFonts w:ascii="Times New Roman" w:eastAsia="Times New Roman" w:hAnsi="Times New Roman"/>
          <w:b/>
          <w:i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b/>
          <w:i/>
          <w:sz w:val="24"/>
          <w:szCs w:val="24"/>
        </w:rPr>
        <w:t>grup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realiza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sarcinile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date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Coordonatorul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activității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partea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Universității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facilita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comunicarea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între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membrii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echipei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Coordonatorul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partea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Universității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eventualele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probleme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neclarități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apărute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desfășurarea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activității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>;</w:t>
      </w:r>
    </w:p>
    <w:p w:rsidR="00777A00" w:rsidRPr="00AB6881" w:rsidRDefault="00777A00" w:rsidP="00777A00">
      <w:pPr>
        <w:pStyle w:val="ListParagraph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B6881">
        <w:rPr>
          <w:rFonts w:ascii="Times New Roman" w:eastAsia="Times New Roman" w:hAnsi="Times New Roman"/>
          <w:b/>
          <w:i/>
          <w:sz w:val="24"/>
          <w:szCs w:val="24"/>
        </w:rPr>
        <w:t>Membru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desfășura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activitățile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date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Coordonatorul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grup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Coordonatorul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partea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Universității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>.</w:t>
      </w: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Art. 11</w:t>
      </w:r>
      <w:r w:rsidRPr="00AB688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9A0588">
        <w:rPr>
          <w:rFonts w:ascii="Times New Roman" w:eastAsia="Times New Roman" w:hAnsi="Times New Roman"/>
          <w:bCs/>
          <w:sz w:val="24"/>
          <w:szCs w:val="24"/>
        </w:rPr>
        <w:t>Î</w:t>
      </w:r>
      <w:r w:rsidRPr="00AB6881">
        <w:rPr>
          <w:rFonts w:ascii="Times New Roman" w:eastAsia="Times New Roman" w:hAnsi="Times New Roman"/>
          <w:sz w:val="24"/>
          <w:szCs w:val="24"/>
        </w:rPr>
        <w:t>nainte de începerea desfășurării activităților de dezvoltare profesională, sociale şi culturale, studenții vor fi instruiți cu privire la modalitatea de desfășurare a acestora.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2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Art. 12</w:t>
      </w:r>
      <w:r w:rsidRPr="00AB6881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AB6881">
        <w:rPr>
          <w:rFonts w:ascii="Times New Roman" w:eastAsia="Times New Roman" w:hAnsi="Times New Roman"/>
          <w:sz w:val="24"/>
          <w:szCs w:val="24"/>
        </w:rPr>
        <w:t>Recunoașterea activităților de dezvoltare profesională desfășurate se va face în următoarele condiții:</w:t>
      </w:r>
    </w:p>
    <w:p w:rsidR="00777A00" w:rsidRPr="00AB6881" w:rsidRDefault="00777A00" w:rsidP="00777A00">
      <w:pPr>
        <w:pStyle w:val="ListParagraph"/>
        <w:numPr>
          <w:ilvl w:val="0"/>
          <w:numId w:val="7"/>
        </w:numPr>
        <w:shd w:val="clear" w:color="auto" w:fill="FFFFFF"/>
        <w:spacing w:after="2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Activitățile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dezvoltare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profesională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vor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recunoscute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numai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dacă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acestea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desfășoară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condițiile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Metodologie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Regulamentele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Universității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>;</w:t>
      </w:r>
    </w:p>
    <w:p w:rsidR="00777A00" w:rsidRPr="00AB6881" w:rsidRDefault="00777A00" w:rsidP="00777A00">
      <w:pPr>
        <w:pStyle w:val="ListParagraph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Înscrierea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entităților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componente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Universității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Facultăți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Departamente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, Discipline,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Generală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Secretariat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Universitate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Asociații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Studențești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Biblioteca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UMFCD,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Editura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UMFCD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B6881">
        <w:rPr>
          <w:rFonts w:ascii="Times New Roman" w:eastAsia="Times New Roman" w:hAnsi="Times New Roman"/>
          <w:sz w:val="24"/>
          <w:szCs w:val="24"/>
        </w:rPr>
        <w:t xml:space="preserve"> etc.)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organizarea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unei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structura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calendarului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activități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realiza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unei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solicitări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Vicepreședintele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Comisiei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atribuire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”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conține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motivarea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necesității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desfășurării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activității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, o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scurtă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descriere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acesteia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numărul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locuri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necesare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>;</w:t>
      </w: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7A00" w:rsidRDefault="00777A00" w:rsidP="00777A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CAPITOLUL IV</w:t>
      </w:r>
      <w:r w:rsidRPr="00AB6881">
        <w:rPr>
          <w:rFonts w:ascii="Times New Roman" w:hAnsi="Times New Roman"/>
          <w:b/>
          <w:sz w:val="24"/>
        </w:rPr>
        <w:t xml:space="preserve">. DISPOZIȚII </w:t>
      </w:r>
      <w:r w:rsidRPr="00AB6881">
        <w:rPr>
          <w:rFonts w:ascii="Times New Roman" w:hAnsi="Times New Roman"/>
          <w:b/>
          <w:sz w:val="24"/>
          <w:szCs w:val="24"/>
        </w:rPr>
        <w:t xml:space="preserve">PRIVIND ACORDAREA BURSEI SPECIALE </w:t>
      </w:r>
      <w:r w:rsidRPr="00802133">
        <w:rPr>
          <w:rFonts w:ascii="Times New Roman" w:hAnsi="Times New Roman"/>
          <w:b/>
          <w:sz w:val="24"/>
          <w:szCs w:val="24"/>
        </w:rPr>
        <w:t>„</w:t>
      </w:r>
      <w:r w:rsidRPr="00414552">
        <w:rPr>
          <w:rFonts w:ascii="Times New Roman" w:hAnsi="Times New Roman"/>
          <w:b/>
          <w:sz w:val="24"/>
          <w:szCs w:val="24"/>
        </w:rPr>
        <w:t>DAN THEODORESCU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5DDF">
        <w:rPr>
          <w:rFonts w:ascii="Times New Roman" w:hAnsi="Times New Roman"/>
          <w:b/>
          <w:sz w:val="24"/>
          <w:szCs w:val="24"/>
        </w:rPr>
        <w:t>&amp; ȘTEFAN MINOVICI</w:t>
      </w:r>
      <w:r w:rsidRPr="00802133">
        <w:rPr>
          <w:rFonts w:ascii="Times New Roman" w:hAnsi="Times New Roman"/>
          <w:b/>
          <w:sz w:val="24"/>
          <w:szCs w:val="24"/>
        </w:rPr>
        <w:t>” PENTRU ACTIVITATE DE DEZVOLTARE PROFESIONALĂ, SOCIALE ȘI CULTURALE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13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</w:p>
    <w:p w:rsidR="00777A00" w:rsidRPr="00AB6881" w:rsidRDefault="00777A00" w:rsidP="00777A0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Numărul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burse </w:t>
      </w:r>
      <w:proofErr w:type="spellStart"/>
      <w:r w:rsidRPr="00AB6881">
        <w:rPr>
          <w:rFonts w:ascii="Times New Roman" w:hAnsi="Times New Roman"/>
          <w:sz w:val="24"/>
          <w:szCs w:val="24"/>
        </w:rPr>
        <w:t>speciale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414552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Pr="00414552">
        <w:rPr>
          <w:rFonts w:ascii="Times New Roman" w:hAnsi="Times New Roman"/>
          <w:sz w:val="24"/>
          <w:szCs w:val="24"/>
        </w:rPr>
        <w:t>Theodorescu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95DDF">
        <w:rPr>
          <w:rFonts w:ascii="Times New Roman" w:hAnsi="Times New Roman"/>
          <w:sz w:val="24"/>
          <w:szCs w:val="24"/>
        </w:rPr>
        <w:t xml:space="preserve">&amp; </w:t>
      </w:r>
      <w:proofErr w:type="spellStart"/>
      <w:r w:rsidRPr="00995DDF">
        <w:rPr>
          <w:rFonts w:ascii="Times New Roman" w:hAnsi="Times New Roman"/>
          <w:sz w:val="24"/>
          <w:szCs w:val="24"/>
        </w:rPr>
        <w:t>Ștefan</w:t>
      </w:r>
      <w:proofErr w:type="spellEnd"/>
      <w:r w:rsidRPr="00995D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DF">
        <w:rPr>
          <w:rFonts w:ascii="Times New Roman" w:hAnsi="Times New Roman"/>
          <w:sz w:val="24"/>
          <w:szCs w:val="24"/>
        </w:rPr>
        <w:t>Minovici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activități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dezvoltare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profesională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sociale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şi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culturale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B6881">
        <w:rPr>
          <w:rFonts w:ascii="Times New Roman" w:hAnsi="Times New Roman"/>
          <w:sz w:val="24"/>
          <w:szCs w:val="24"/>
        </w:rPr>
        <w:t>stabilește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către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Comisia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Atribuire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fiecare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an,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funcție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fondurile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disponibile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777A00" w:rsidRPr="00AB6881" w:rsidRDefault="00777A00" w:rsidP="00777A0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lastRenderedPageBreak/>
        <w:t>Dacă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după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obținerea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număr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natural de burse </w:t>
      </w:r>
      <w:proofErr w:type="spellStart"/>
      <w:r w:rsidRPr="00AB6881">
        <w:rPr>
          <w:rFonts w:ascii="Times New Roman" w:hAnsi="Times New Roman"/>
          <w:sz w:val="24"/>
          <w:szCs w:val="24"/>
        </w:rPr>
        <w:t>rămân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fonduri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disponibile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acestea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 w:rsidRPr="00AB6881">
        <w:rPr>
          <w:rFonts w:ascii="Times New Roman" w:hAnsi="Times New Roman"/>
          <w:sz w:val="24"/>
          <w:szCs w:val="24"/>
        </w:rPr>
        <w:t>împărți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mod </w:t>
      </w:r>
      <w:proofErr w:type="spellStart"/>
      <w:r w:rsidRPr="00AB6881">
        <w:rPr>
          <w:rFonts w:ascii="Times New Roman" w:hAnsi="Times New Roman"/>
          <w:sz w:val="24"/>
          <w:szCs w:val="24"/>
        </w:rPr>
        <w:t>egal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B6881">
        <w:rPr>
          <w:rFonts w:ascii="Times New Roman" w:hAnsi="Times New Roman"/>
          <w:sz w:val="24"/>
          <w:szCs w:val="24"/>
        </w:rPr>
        <w:t>fiecare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bursă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sau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B6881">
        <w:rPr>
          <w:rFonts w:ascii="Times New Roman" w:hAnsi="Times New Roman"/>
          <w:sz w:val="24"/>
          <w:szCs w:val="24"/>
        </w:rPr>
        <w:t>redirecționează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fondurilor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disponibile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anul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universitar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următor</w:t>
      </w:r>
      <w:proofErr w:type="spellEnd"/>
      <w:r w:rsidRPr="00AB6881">
        <w:rPr>
          <w:rFonts w:ascii="Times New Roman" w:hAnsi="Times New Roman"/>
          <w:sz w:val="24"/>
          <w:szCs w:val="24"/>
        </w:rPr>
        <w:t>;</w:t>
      </w:r>
    </w:p>
    <w:p w:rsidR="00777A00" w:rsidRPr="00AB6881" w:rsidRDefault="00777A00" w:rsidP="00777A00">
      <w:pPr>
        <w:pStyle w:val="ListParagraph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Dacă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rămân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burse </w:t>
      </w:r>
      <w:proofErr w:type="spellStart"/>
      <w:r w:rsidRPr="00AB6881">
        <w:rPr>
          <w:rFonts w:ascii="Times New Roman" w:hAnsi="Times New Roman"/>
          <w:sz w:val="24"/>
          <w:szCs w:val="24"/>
        </w:rPr>
        <w:t>nedistribuite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dintre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anii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studiu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acestea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B6881">
        <w:rPr>
          <w:rFonts w:ascii="Times New Roman" w:hAnsi="Times New Roman"/>
          <w:sz w:val="24"/>
          <w:szCs w:val="24"/>
        </w:rPr>
        <w:t>vor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raporta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AB6881">
        <w:rPr>
          <w:rFonts w:ascii="Times New Roman" w:hAnsi="Times New Roman"/>
          <w:sz w:val="24"/>
          <w:szCs w:val="24"/>
        </w:rPr>
        <w:t>clasamentului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general.</w:t>
      </w: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14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</w:p>
    <w:p w:rsidR="00777A00" w:rsidRPr="00AB6881" w:rsidRDefault="00777A00" w:rsidP="00777A00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Bursa se </w:t>
      </w:r>
      <w:proofErr w:type="spellStart"/>
      <w:r w:rsidRPr="00AB6881">
        <w:rPr>
          <w:rFonts w:ascii="Times New Roman" w:hAnsi="Times New Roman"/>
          <w:sz w:val="24"/>
          <w:szCs w:val="24"/>
        </w:rPr>
        <w:t>acordă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r w:rsidRPr="00AB6881">
        <w:rPr>
          <w:rFonts w:ascii="Times New Roman" w:hAnsi="Times New Roman"/>
          <w:b/>
          <w:i/>
          <w:sz w:val="24"/>
          <w:szCs w:val="24"/>
        </w:rPr>
        <w:t>lunar</w:t>
      </w:r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semestrul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universitar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următor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prestării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activității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baza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adeverinței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eliberate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Comisia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Atribuire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777A00" w:rsidRPr="00AB6881" w:rsidRDefault="00777A00" w:rsidP="00777A00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Cuantumul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bursei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414552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Pr="00414552">
        <w:rPr>
          <w:rFonts w:ascii="Times New Roman" w:hAnsi="Times New Roman"/>
          <w:sz w:val="24"/>
          <w:szCs w:val="24"/>
        </w:rPr>
        <w:t>Theodorescu</w:t>
      </w:r>
      <w:proofErr w:type="spellEnd"/>
      <w:r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995DDF">
        <w:rPr>
          <w:rFonts w:ascii="Times New Roman" w:hAnsi="Times New Roman"/>
          <w:sz w:val="24"/>
          <w:szCs w:val="24"/>
        </w:rPr>
        <w:t>Ștefan</w:t>
      </w:r>
      <w:proofErr w:type="spellEnd"/>
      <w:r w:rsidRPr="00995D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DF">
        <w:rPr>
          <w:rFonts w:ascii="Times New Roman" w:hAnsi="Times New Roman"/>
          <w:sz w:val="24"/>
          <w:szCs w:val="24"/>
        </w:rPr>
        <w:t>Minovici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” se </w:t>
      </w:r>
      <w:proofErr w:type="spellStart"/>
      <w:r w:rsidRPr="00AB6881">
        <w:rPr>
          <w:rFonts w:ascii="Times New Roman" w:hAnsi="Times New Roman"/>
          <w:sz w:val="24"/>
          <w:szCs w:val="24"/>
        </w:rPr>
        <w:t>determină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după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AB6881">
        <w:rPr>
          <w:rFonts w:ascii="Times New Roman" w:hAnsi="Times New Roman"/>
          <w:sz w:val="24"/>
          <w:szCs w:val="24"/>
        </w:rPr>
        <w:t>urmează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:  </w:t>
      </w:r>
    </w:p>
    <w:p w:rsidR="00777A00" w:rsidRPr="00AB6881" w:rsidRDefault="00777A00" w:rsidP="00777A00">
      <w:pPr>
        <w:pStyle w:val="ListParagraph"/>
        <w:numPr>
          <w:ilvl w:val="1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Grad I      – 280 – 300 de </w:t>
      </w:r>
      <w:proofErr w:type="spellStart"/>
      <w:r w:rsidRPr="00AB6881">
        <w:rPr>
          <w:rFonts w:ascii="Times New Roman" w:hAnsi="Times New Roman"/>
          <w:sz w:val="24"/>
          <w:szCs w:val="24"/>
        </w:rPr>
        <w:t>puncte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– se </w:t>
      </w:r>
      <w:proofErr w:type="spellStart"/>
      <w:r w:rsidRPr="00AB6881">
        <w:rPr>
          <w:rFonts w:ascii="Times New Roman" w:hAnsi="Times New Roman"/>
          <w:sz w:val="24"/>
          <w:szCs w:val="24"/>
        </w:rPr>
        <w:t>determină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ca 1,4 x bursa de merit*</w:t>
      </w:r>
    </w:p>
    <w:p w:rsidR="00777A00" w:rsidRPr="00AB6881" w:rsidRDefault="00777A00" w:rsidP="00777A00">
      <w:pPr>
        <w:pStyle w:val="ListParagraph"/>
        <w:numPr>
          <w:ilvl w:val="1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Grad II    – 260 – 280 </w:t>
      </w:r>
      <w:proofErr w:type="spellStart"/>
      <w:r w:rsidRPr="00AB6881">
        <w:rPr>
          <w:rFonts w:ascii="Times New Roman" w:hAnsi="Times New Roman"/>
          <w:sz w:val="24"/>
          <w:szCs w:val="24"/>
        </w:rPr>
        <w:t>puncte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– se </w:t>
      </w:r>
      <w:proofErr w:type="spellStart"/>
      <w:r w:rsidRPr="00AB6881">
        <w:rPr>
          <w:rFonts w:ascii="Times New Roman" w:hAnsi="Times New Roman"/>
          <w:sz w:val="24"/>
          <w:szCs w:val="24"/>
        </w:rPr>
        <w:t>determină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ca 1,3 x bursa de merit</w:t>
      </w:r>
    </w:p>
    <w:p w:rsidR="00777A00" w:rsidRPr="00AB6881" w:rsidRDefault="00777A00" w:rsidP="00777A00">
      <w:pPr>
        <w:pStyle w:val="ListParagraph"/>
        <w:numPr>
          <w:ilvl w:val="1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Grad III   – 240 – 260 se </w:t>
      </w:r>
      <w:proofErr w:type="spellStart"/>
      <w:r w:rsidRPr="00AB6881">
        <w:rPr>
          <w:rFonts w:ascii="Times New Roman" w:hAnsi="Times New Roman"/>
          <w:sz w:val="24"/>
          <w:szCs w:val="24"/>
        </w:rPr>
        <w:t>determină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ca 1,2 x bursa de merit</w:t>
      </w:r>
    </w:p>
    <w:p w:rsidR="00777A00" w:rsidRPr="00AB6881" w:rsidRDefault="00777A00" w:rsidP="00777A00">
      <w:pPr>
        <w:pStyle w:val="ListParagraph"/>
        <w:numPr>
          <w:ilvl w:val="1"/>
          <w:numId w:val="10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Grad IV   – 220 – 240 se </w:t>
      </w:r>
      <w:proofErr w:type="spellStart"/>
      <w:r w:rsidRPr="00AB6881">
        <w:rPr>
          <w:rFonts w:ascii="Times New Roman" w:hAnsi="Times New Roman"/>
          <w:sz w:val="24"/>
          <w:szCs w:val="24"/>
        </w:rPr>
        <w:t>determină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ca 1,1 x bursa de merit</w:t>
      </w:r>
    </w:p>
    <w:p w:rsidR="00777A00" w:rsidRPr="00AB6881" w:rsidRDefault="00777A00" w:rsidP="00777A00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anul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universitar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2020-2021 </w:t>
      </w:r>
      <w:proofErr w:type="spellStart"/>
      <w:r w:rsidRPr="00AB6881">
        <w:rPr>
          <w:rFonts w:ascii="Times New Roman" w:hAnsi="Times New Roman"/>
          <w:sz w:val="24"/>
          <w:szCs w:val="24"/>
        </w:rPr>
        <w:t>cuantumul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bursei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merit </w:t>
      </w:r>
      <w:proofErr w:type="spellStart"/>
      <w:r w:rsidRPr="00AB6881">
        <w:rPr>
          <w:rFonts w:ascii="Times New Roman" w:hAnsi="Times New Roman"/>
          <w:sz w:val="24"/>
          <w:szCs w:val="24"/>
        </w:rPr>
        <w:t>este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900 lei. </w:t>
      </w:r>
    </w:p>
    <w:p w:rsidR="00777A00" w:rsidRPr="00AB6881" w:rsidRDefault="00777A00" w:rsidP="00777A00">
      <w:pPr>
        <w:pStyle w:val="ListParagraph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sz w:val="24"/>
          <w:szCs w:val="24"/>
        </w:rPr>
        <w:t xml:space="preserve">Plata </w:t>
      </w:r>
      <w:proofErr w:type="spellStart"/>
      <w:r w:rsidRPr="00AB6881">
        <w:rPr>
          <w:rFonts w:ascii="Times New Roman" w:hAnsi="Times New Roman"/>
          <w:sz w:val="24"/>
          <w:szCs w:val="24"/>
        </w:rPr>
        <w:t>burselor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B6881">
        <w:rPr>
          <w:rFonts w:ascii="Times New Roman" w:hAnsi="Times New Roman"/>
          <w:sz w:val="24"/>
          <w:szCs w:val="24"/>
        </w:rPr>
        <w:t>realizează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prin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virament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conturile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bancare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studenților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termen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30 de </w:t>
      </w:r>
      <w:proofErr w:type="spellStart"/>
      <w:r w:rsidRPr="00AB6881">
        <w:rPr>
          <w:rFonts w:ascii="Times New Roman" w:hAnsi="Times New Roman"/>
          <w:sz w:val="24"/>
          <w:szCs w:val="24"/>
        </w:rPr>
        <w:t>zile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lucrătoare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B6881"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AB6881">
        <w:rPr>
          <w:rFonts w:ascii="Times New Roman" w:hAnsi="Times New Roman"/>
          <w:sz w:val="24"/>
          <w:szCs w:val="24"/>
        </w:rPr>
        <w:t>obținerii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adeverinței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B6881">
        <w:rPr>
          <w:rFonts w:ascii="Times New Roman" w:hAnsi="Times New Roman"/>
          <w:b/>
          <w:sz w:val="24"/>
          <w:szCs w:val="24"/>
        </w:rPr>
        <w:t>Art. 1</w:t>
      </w:r>
      <w:r>
        <w:rPr>
          <w:rFonts w:ascii="Times New Roman" w:hAnsi="Times New Roman"/>
          <w:b/>
          <w:sz w:val="24"/>
          <w:szCs w:val="24"/>
        </w:rPr>
        <w:t>5</w:t>
      </w:r>
      <w:r w:rsidRPr="00AB6881">
        <w:rPr>
          <w:rFonts w:ascii="Times New Roman" w:hAnsi="Times New Roman"/>
          <w:sz w:val="24"/>
          <w:szCs w:val="24"/>
        </w:rPr>
        <w:t>. Din momentul acordării bursei</w:t>
      </w:r>
      <w:r>
        <w:rPr>
          <w:rFonts w:ascii="Times New Roman" w:hAnsi="Times New Roman"/>
          <w:sz w:val="24"/>
          <w:szCs w:val="24"/>
        </w:rPr>
        <w:t>,</w:t>
      </w:r>
      <w:r w:rsidRPr="00AB6881">
        <w:rPr>
          <w:rFonts w:ascii="Times New Roman" w:hAnsi="Times New Roman"/>
          <w:sz w:val="24"/>
          <w:szCs w:val="24"/>
        </w:rPr>
        <w:t xml:space="preserve"> punctele sunt echivalate cu aceasta și nu mai au valoare. Studenții au posibilitatea de a se înrola la noi activități pentru acumularea de noi puncte pentru o noua bursă.</w:t>
      </w: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16</w:t>
      </w:r>
      <w:r w:rsidRPr="00AB6881">
        <w:rPr>
          <w:rFonts w:ascii="Times New Roman" w:hAnsi="Times New Roman"/>
          <w:b/>
          <w:sz w:val="24"/>
          <w:szCs w:val="24"/>
        </w:rPr>
        <w:t>.</w:t>
      </w:r>
      <w:r w:rsidRPr="00AB6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Pentru s</w:t>
      </w:r>
      <w:r w:rsidRPr="00AB6881">
        <w:rPr>
          <w:rFonts w:ascii="Times New Roman" w:hAnsi="Times New Roman"/>
          <w:sz w:val="24"/>
          <w:szCs w:val="24"/>
        </w:rPr>
        <w:t>tudenții care nu au acumulat numărul de puncte</w:t>
      </w:r>
      <w:r>
        <w:rPr>
          <w:rFonts w:ascii="Times New Roman" w:hAnsi="Times New Roman"/>
          <w:sz w:val="24"/>
          <w:szCs w:val="24"/>
        </w:rPr>
        <w:t>,</w:t>
      </w:r>
      <w:r w:rsidRPr="00AB6881">
        <w:rPr>
          <w:rFonts w:ascii="Times New Roman" w:hAnsi="Times New Roman"/>
          <w:sz w:val="24"/>
          <w:szCs w:val="24"/>
        </w:rPr>
        <w:t xml:space="preserve"> pentru obținerea bursei în anul Universitar 2019-2020</w:t>
      </w:r>
      <w:r>
        <w:rPr>
          <w:rFonts w:ascii="Times New Roman" w:hAnsi="Times New Roman"/>
          <w:sz w:val="24"/>
          <w:szCs w:val="24"/>
        </w:rPr>
        <w:t>,</w:t>
      </w:r>
      <w:r w:rsidRPr="00AB6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vor</w:t>
      </w:r>
      <w:r w:rsidRPr="00AB6881">
        <w:rPr>
          <w:rFonts w:ascii="Times New Roman" w:hAnsi="Times New Roman"/>
          <w:sz w:val="24"/>
          <w:szCs w:val="24"/>
        </w:rPr>
        <w:t xml:space="preserve"> depune pe adresa de e-mail</w:t>
      </w:r>
      <w:r>
        <w:rPr>
          <w:rFonts w:ascii="Times New Roman" w:hAnsi="Times New Roman"/>
          <w:sz w:val="24"/>
          <w:szCs w:val="24"/>
        </w:rPr>
        <w:t>,</w:t>
      </w:r>
      <w:r w:rsidRPr="00AB6881">
        <w:rPr>
          <w:rFonts w:ascii="Times New Roman" w:hAnsi="Times New Roman"/>
          <w:sz w:val="24"/>
          <w:szCs w:val="24"/>
        </w:rPr>
        <w:t xml:space="preserve"> a Comisiei</w:t>
      </w:r>
      <w:r>
        <w:rPr>
          <w:rFonts w:ascii="Times New Roman" w:hAnsi="Times New Roman"/>
          <w:sz w:val="24"/>
          <w:szCs w:val="24"/>
        </w:rPr>
        <w:t>,</w:t>
      </w:r>
      <w:r w:rsidRPr="00AB6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centralizatorul</w:t>
      </w:r>
      <w:r w:rsidRPr="00AB6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sau </w:t>
      </w:r>
      <w:r w:rsidRPr="00AB6881">
        <w:rPr>
          <w:rFonts w:ascii="Times New Roman" w:hAnsi="Times New Roman"/>
          <w:sz w:val="24"/>
          <w:szCs w:val="24"/>
        </w:rPr>
        <w:t>documentele justificative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B6881">
        <w:rPr>
          <w:rFonts w:ascii="Times New Roman" w:hAnsi="Times New Roman"/>
          <w:sz w:val="24"/>
          <w:szCs w:val="24"/>
        </w:rPr>
        <w:t>referitoare la activitățile desfășurate pentru a fi creditate, înregis</w:t>
      </w:r>
      <w:r>
        <w:rPr>
          <w:rFonts w:ascii="Times New Roman" w:hAnsi="Times New Roman"/>
          <w:sz w:val="24"/>
          <w:szCs w:val="24"/>
        </w:rPr>
        <w:t>trate și reportate pentru anul universitar următor.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17</w:t>
      </w:r>
      <w:r w:rsidRPr="00AB6881">
        <w:rPr>
          <w:rFonts w:ascii="Times New Roman" w:hAnsi="Times New Roman"/>
          <w:b/>
          <w:sz w:val="24"/>
          <w:szCs w:val="24"/>
        </w:rPr>
        <w:t>.</w:t>
      </w:r>
      <w:r w:rsidRPr="00AB6881">
        <w:rPr>
          <w:rFonts w:ascii="Times New Roman" w:hAnsi="Times New Roman"/>
          <w:sz w:val="24"/>
          <w:szCs w:val="24"/>
        </w:rPr>
        <w:t xml:space="preserve">  Sunt eligibili </w:t>
      </w:r>
      <w:r w:rsidRPr="00AB6881">
        <w:rPr>
          <w:rFonts w:ascii="Times New Roman" w:hAnsi="Times New Roman"/>
          <w:b/>
          <w:sz w:val="24"/>
          <w:szCs w:val="24"/>
        </w:rPr>
        <w:t xml:space="preserve">studenții înmatriculați </w:t>
      </w:r>
      <w:r w:rsidRPr="00AB6881">
        <w:rPr>
          <w:rFonts w:ascii="Times New Roman" w:hAnsi="Times New Roman"/>
          <w:sz w:val="24"/>
          <w:szCs w:val="24"/>
        </w:rPr>
        <w:t xml:space="preserve">la Universitatea de Medicină și Farmacie ,,Carol Davila”, București, </w:t>
      </w:r>
      <w:r w:rsidRPr="00995DDF">
        <w:rPr>
          <w:rFonts w:ascii="Times New Roman" w:hAnsi="Times New Roman"/>
          <w:b/>
          <w:i/>
          <w:sz w:val="24"/>
          <w:szCs w:val="24"/>
        </w:rPr>
        <w:t xml:space="preserve">Facultatea de Medicină Dentară </w:t>
      </w:r>
      <w:r w:rsidRPr="00995DDF">
        <w:rPr>
          <w:rFonts w:ascii="Times New Roman" w:hAnsi="Times New Roman"/>
          <w:sz w:val="24"/>
          <w:szCs w:val="24"/>
        </w:rPr>
        <w:t>și</w:t>
      </w:r>
      <w:r w:rsidRPr="00995DDF">
        <w:rPr>
          <w:rFonts w:ascii="Times New Roman" w:hAnsi="Times New Roman"/>
          <w:b/>
          <w:i/>
          <w:sz w:val="24"/>
          <w:szCs w:val="24"/>
        </w:rPr>
        <w:t xml:space="preserve"> Facultatea de Farmacie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18</w:t>
      </w:r>
      <w:r w:rsidRPr="00AB6881">
        <w:rPr>
          <w:rFonts w:ascii="Times New Roman" w:hAnsi="Times New Roman"/>
          <w:b/>
          <w:sz w:val="24"/>
          <w:szCs w:val="24"/>
        </w:rPr>
        <w:t>.</w:t>
      </w:r>
      <w:r w:rsidRPr="00AB6881">
        <w:rPr>
          <w:rFonts w:ascii="Times New Roman" w:hAnsi="Times New Roman"/>
          <w:sz w:val="24"/>
          <w:szCs w:val="24"/>
        </w:rPr>
        <w:t xml:space="preserve"> Număr total de burse: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89"/>
        <w:gridCol w:w="2909"/>
      </w:tblGrid>
      <w:tr w:rsidR="00777A00" w:rsidRPr="00AB6881" w:rsidTr="00123055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FARMACIE</w:t>
            </w:r>
          </w:p>
        </w:tc>
        <w:tc>
          <w:tcPr>
            <w:tcW w:w="2909" w:type="dxa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MEDICINA DENTARĂ</w:t>
            </w:r>
          </w:p>
        </w:tc>
      </w:tr>
      <w:tr w:rsidR="00777A00" w:rsidRPr="00AB6881" w:rsidTr="00123055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E8A">
              <w:rPr>
                <w:rFonts w:ascii="Times New Roman" w:hAnsi="Times New Roman"/>
                <w:b/>
                <w:sz w:val="24"/>
                <w:szCs w:val="24"/>
              </w:rPr>
              <w:t>Grad I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A6E8A">
              <w:rPr>
                <w:rFonts w:ascii="Times New Roman" w:hAnsi="Times New Roman"/>
                <w:b/>
                <w:sz w:val="24"/>
                <w:szCs w:val="24"/>
              </w:rPr>
              <w:t xml:space="preserve"> burse</w:t>
            </w:r>
          </w:p>
        </w:tc>
        <w:tc>
          <w:tcPr>
            <w:tcW w:w="2909" w:type="dxa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5A6E8A">
              <w:rPr>
                <w:rFonts w:ascii="Times New Roman" w:hAnsi="Times New Roman"/>
                <w:b/>
                <w:sz w:val="24"/>
                <w:szCs w:val="24"/>
              </w:rPr>
              <w:t>burse</w:t>
            </w:r>
          </w:p>
        </w:tc>
      </w:tr>
      <w:tr w:rsidR="00777A00" w:rsidRPr="00AB6881" w:rsidTr="00123055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E8A">
              <w:rPr>
                <w:rFonts w:ascii="Times New Roman" w:hAnsi="Times New Roman"/>
                <w:b/>
                <w:sz w:val="24"/>
                <w:szCs w:val="24"/>
              </w:rPr>
              <w:t>Grad II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A6E8A">
              <w:rPr>
                <w:rFonts w:ascii="Times New Roman" w:hAnsi="Times New Roman"/>
                <w:b/>
                <w:sz w:val="24"/>
                <w:szCs w:val="24"/>
              </w:rPr>
              <w:t xml:space="preserve"> burse</w:t>
            </w:r>
          </w:p>
        </w:tc>
        <w:tc>
          <w:tcPr>
            <w:tcW w:w="2909" w:type="dxa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5A6E8A">
              <w:rPr>
                <w:rFonts w:ascii="Times New Roman" w:hAnsi="Times New Roman"/>
                <w:b/>
                <w:sz w:val="24"/>
                <w:szCs w:val="24"/>
              </w:rPr>
              <w:t>burse</w:t>
            </w:r>
          </w:p>
        </w:tc>
      </w:tr>
      <w:tr w:rsidR="00777A00" w:rsidRPr="00AB6881" w:rsidTr="00123055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E8A">
              <w:rPr>
                <w:rFonts w:ascii="Times New Roman" w:hAnsi="Times New Roman"/>
                <w:b/>
                <w:sz w:val="24"/>
                <w:szCs w:val="24"/>
              </w:rPr>
              <w:t>Grad III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5A6E8A">
              <w:rPr>
                <w:rFonts w:ascii="Times New Roman" w:hAnsi="Times New Roman"/>
                <w:b/>
                <w:sz w:val="24"/>
                <w:szCs w:val="24"/>
              </w:rPr>
              <w:t>burse</w:t>
            </w:r>
          </w:p>
        </w:tc>
        <w:tc>
          <w:tcPr>
            <w:tcW w:w="2909" w:type="dxa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Pr="005A6E8A">
              <w:rPr>
                <w:rFonts w:ascii="Times New Roman" w:hAnsi="Times New Roman"/>
                <w:b/>
                <w:sz w:val="24"/>
                <w:szCs w:val="24"/>
              </w:rPr>
              <w:t>burse</w:t>
            </w:r>
          </w:p>
        </w:tc>
      </w:tr>
      <w:tr w:rsidR="00777A00" w:rsidRPr="00AB6881" w:rsidTr="00123055">
        <w:trPr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E8A">
              <w:rPr>
                <w:rFonts w:ascii="Times New Roman" w:hAnsi="Times New Roman"/>
                <w:b/>
                <w:sz w:val="24"/>
                <w:szCs w:val="24"/>
              </w:rPr>
              <w:t>Grad IV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A6E8A">
              <w:rPr>
                <w:rFonts w:ascii="Times New Roman" w:hAnsi="Times New Roman"/>
                <w:b/>
                <w:sz w:val="24"/>
                <w:szCs w:val="24"/>
              </w:rPr>
              <w:t xml:space="preserve"> burse</w:t>
            </w:r>
          </w:p>
        </w:tc>
        <w:tc>
          <w:tcPr>
            <w:tcW w:w="2909" w:type="dxa"/>
          </w:tcPr>
          <w:p w:rsidR="00777A00" w:rsidRPr="005A6E8A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5A6E8A">
              <w:rPr>
                <w:rFonts w:ascii="Times New Roman" w:hAnsi="Times New Roman"/>
                <w:b/>
                <w:sz w:val="24"/>
                <w:szCs w:val="24"/>
              </w:rPr>
              <w:t>burse</w:t>
            </w:r>
          </w:p>
        </w:tc>
      </w:tr>
    </w:tbl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Art. 19</w:t>
      </w:r>
      <w:r w:rsidRPr="00AB6881">
        <w:rPr>
          <w:rFonts w:ascii="Times New Roman" w:hAnsi="Times New Roman"/>
          <w:b/>
          <w:sz w:val="24"/>
        </w:rPr>
        <w:t xml:space="preserve">. </w:t>
      </w:r>
    </w:p>
    <w:p w:rsidR="00777A00" w:rsidRPr="00AB6881" w:rsidRDefault="00777A00" w:rsidP="00777A00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Numărul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total de burse din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fiecare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categorie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împărți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având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vedere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numărul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studenți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fiecare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facultate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astfel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>:</w:t>
      </w:r>
    </w:p>
    <w:p w:rsidR="00777A00" w:rsidRPr="00AB6881" w:rsidRDefault="00777A00" w:rsidP="00777A00">
      <w:pPr>
        <w:pStyle w:val="ListParagraph"/>
        <w:numPr>
          <w:ilvl w:val="1"/>
          <w:numId w:val="11"/>
        </w:numPr>
        <w:spacing w:after="0"/>
        <w:jc w:val="both"/>
        <w:rPr>
          <w:rFonts w:ascii="Times New Roman" w:hAnsi="Times New Roman"/>
          <w:sz w:val="24"/>
        </w:rPr>
      </w:pPr>
      <w:proofErr w:type="spellStart"/>
      <w:r w:rsidRPr="00AB6881">
        <w:rPr>
          <w:rFonts w:ascii="Times New Roman" w:hAnsi="Times New Roman"/>
          <w:sz w:val="24"/>
        </w:rPr>
        <w:t>Facultatea</w:t>
      </w:r>
      <w:proofErr w:type="spellEnd"/>
      <w:r w:rsidRPr="00AB6881">
        <w:rPr>
          <w:rFonts w:ascii="Times New Roman" w:hAnsi="Times New Roman"/>
          <w:sz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</w:rPr>
        <w:t>Medicină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Dentară</w:t>
      </w:r>
      <w:proofErr w:type="spellEnd"/>
      <w:r w:rsidRPr="00AB6881">
        <w:rPr>
          <w:rFonts w:ascii="Times New Roman" w:hAnsi="Times New Roman"/>
          <w:sz w:val="24"/>
        </w:rPr>
        <w:t xml:space="preserve"> (</w:t>
      </w:r>
      <w:proofErr w:type="spellStart"/>
      <w:r w:rsidRPr="00AB6881">
        <w:rPr>
          <w:rFonts w:ascii="Times New Roman" w:hAnsi="Times New Roman"/>
          <w:sz w:val="24"/>
        </w:rPr>
        <w:t>asociație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studențească</w:t>
      </w:r>
      <w:proofErr w:type="spellEnd"/>
      <w:r w:rsidRPr="00AB6881">
        <w:rPr>
          <w:rFonts w:ascii="Times New Roman" w:hAnsi="Times New Roman"/>
          <w:sz w:val="24"/>
        </w:rPr>
        <w:t xml:space="preserve">: </w:t>
      </w:r>
      <w:proofErr w:type="spellStart"/>
      <w:r w:rsidRPr="00AB6881">
        <w:rPr>
          <w:rFonts w:ascii="Times New Roman" w:hAnsi="Times New Roman"/>
          <w:sz w:val="24"/>
        </w:rPr>
        <w:t>Liga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Studenților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în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Medicină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Dentară</w:t>
      </w:r>
      <w:proofErr w:type="spellEnd"/>
      <w:r w:rsidRPr="00AB6881">
        <w:rPr>
          <w:rFonts w:ascii="Times New Roman" w:hAnsi="Times New Roman"/>
          <w:sz w:val="24"/>
        </w:rPr>
        <w:t xml:space="preserve"> din </w:t>
      </w:r>
      <w:proofErr w:type="spellStart"/>
      <w:r w:rsidRPr="00AB6881">
        <w:rPr>
          <w:rFonts w:ascii="Times New Roman" w:hAnsi="Times New Roman"/>
          <w:sz w:val="24"/>
        </w:rPr>
        <w:t>București</w:t>
      </w:r>
      <w:proofErr w:type="spellEnd"/>
      <w:r w:rsidRPr="00AB6881">
        <w:rPr>
          <w:rFonts w:ascii="Times New Roman" w:hAnsi="Times New Roman"/>
          <w:sz w:val="24"/>
        </w:rPr>
        <w:t xml:space="preserve">) – </w:t>
      </w:r>
      <w:r w:rsidRPr="00977BFB">
        <w:rPr>
          <w:rFonts w:ascii="Times New Roman" w:hAnsi="Times New Roman"/>
          <w:sz w:val="24"/>
        </w:rPr>
        <w:t>57%</w:t>
      </w:r>
    </w:p>
    <w:p w:rsidR="00777A00" w:rsidRPr="00AB6881" w:rsidRDefault="00777A00" w:rsidP="00777A00">
      <w:pPr>
        <w:pStyle w:val="ListParagraph"/>
        <w:numPr>
          <w:ilvl w:val="1"/>
          <w:numId w:val="11"/>
        </w:numPr>
        <w:spacing w:after="0"/>
        <w:jc w:val="both"/>
        <w:rPr>
          <w:rFonts w:ascii="Times New Roman" w:hAnsi="Times New Roman"/>
          <w:sz w:val="24"/>
        </w:rPr>
      </w:pPr>
      <w:proofErr w:type="spellStart"/>
      <w:r w:rsidRPr="00AB6881">
        <w:rPr>
          <w:rFonts w:ascii="Times New Roman" w:hAnsi="Times New Roman"/>
          <w:sz w:val="24"/>
        </w:rPr>
        <w:t>Facultatea</w:t>
      </w:r>
      <w:proofErr w:type="spellEnd"/>
      <w:r w:rsidRPr="00AB6881">
        <w:rPr>
          <w:rFonts w:ascii="Times New Roman" w:hAnsi="Times New Roman"/>
          <w:sz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</w:rPr>
        <w:t>Farmacie</w:t>
      </w:r>
      <w:proofErr w:type="spellEnd"/>
      <w:r w:rsidRPr="00AB6881">
        <w:rPr>
          <w:rFonts w:ascii="Times New Roman" w:hAnsi="Times New Roman"/>
          <w:sz w:val="24"/>
        </w:rPr>
        <w:t xml:space="preserve"> (</w:t>
      </w:r>
      <w:proofErr w:type="spellStart"/>
      <w:r w:rsidRPr="00AB6881">
        <w:rPr>
          <w:rFonts w:ascii="Times New Roman" w:hAnsi="Times New Roman"/>
          <w:sz w:val="24"/>
        </w:rPr>
        <w:t>asociație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studențească</w:t>
      </w:r>
      <w:proofErr w:type="spellEnd"/>
      <w:r w:rsidRPr="00AB6881">
        <w:rPr>
          <w:rFonts w:ascii="Times New Roman" w:hAnsi="Times New Roman"/>
          <w:sz w:val="24"/>
        </w:rPr>
        <w:t xml:space="preserve">: </w:t>
      </w:r>
      <w:proofErr w:type="spellStart"/>
      <w:r w:rsidRPr="00AB6881">
        <w:rPr>
          <w:rFonts w:ascii="Times New Roman" w:hAnsi="Times New Roman"/>
          <w:sz w:val="24"/>
        </w:rPr>
        <w:t>Societatea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Studenților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Farmaciști</w:t>
      </w:r>
      <w:proofErr w:type="spellEnd"/>
      <w:r w:rsidRPr="00AB6881">
        <w:rPr>
          <w:rFonts w:ascii="Times New Roman" w:hAnsi="Times New Roman"/>
          <w:sz w:val="24"/>
        </w:rPr>
        <w:t xml:space="preserve"> din </w:t>
      </w:r>
      <w:proofErr w:type="spellStart"/>
      <w:r w:rsidRPr="00AB6881">
        <w:rPr>
          <w:rFonts w:ascii="Times New Roman" w:hAnsi="Times New Roman"/>
          <w:sz w:val="24"/>
        </w:rPr>
        <w:t>București</w:t>
      </w:r>
      <w:proofErr w:type="spellEnd"/>
      <w:r w:rsidRPr="00AB6881">
        <w:rPr>
          <w:rFonts w:ascii="Times New Roman" w:hAnsi="Times New Roman"/>
          <w:sz w:val="24"/>
        </w:rPr>
        <w:t xml:space="preserve">) – </w:t>
      </w:r>
      <w:r w:rsidRPr="00977BFB">
        <w:rPr>
          <w:rFonts w:ascii="Times New Roman" w:hAnsi="Times New Roman"/>
          <w:sz w:val="24"/>
        </w:rPr>
        <w:t>43%</w:t>
      </w:r>
    </w:p>
    <w:p w:rsidR="00777A00" w:rsidRPr="00AB6881" w:rsidRDefault="00777A00" w:rsidP="00777A00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proofErr w:type="spellStart"/>
      <w:r w:rsidRPr="00AB6881">
        <w:rPr>
          <w:rFonts w:ascii="Times New Roman" w:hAnsi="Times New Roman"/>
          <w:sz w:val="24"/>
        </w:rPr>
        <w:t>În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cazul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în</w:t>
      </w:r>
      <w:proofErr w:type="spellEnd"/>
      <w:r w:rsidRPr="00AB6881">
        <w:rPr>
          <w:rFonts w:ascii="Times New Roman" w:hAnsi="Times New Roman"/>
          <w:sz w:val="24"/>
        </w:rPr>
        <w:t xml:space="preserve"> care din </w:t>
      </w:r>
      <w:proofErr w:type="spellStart"/>
      <w:r w:rsidRPr="00AB6881">
        <w:rPr>
          <w:rFonts w:ascii="Times New Roman" w:hAnsi="Times New Roman"/>
          <w:sz w:val="24"/>
        </w:rPr>
        <w:t>partea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unei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facultăți</w:t>
      </w:r>
      <w:proofErr w:type="spellEnd"/>
      <w:r w:rsidRPr="00AB6881">
        <w:rPr>
          <w:rFonts w:ascii="Times New Roman" w:hAnsi="Times New Roman"/>
          <w:sz w:val="24"/>
        </w:rPr>
        <w:t xml:space="preserve"> nu </w:t>
      </w:r>
      <w:proofErr w:type="spellStart"/>
      <w:r w:rsidRPr="00AB6881">
        <w:rPr>
          <w:rFonts w:ascii="Times New Roman" w:hAnsi="Times New Roman"/>
          <w:sz w:val="24"/>
        </w:rPr>
        <w:t>sunt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depuse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și</w:t>
      </w:r>
      <w:proofErr w:type="spellEnd"/>
      <w:r w:rsidRPr="00AB6881">
        <w:rPr>
          <w:rFonts w:ascii="Times New Roman" w:hAnsi="Times New Roman"/>
          <w:sz w:val="24"/>
        </w:rPr>
        <w:t xml:space="preserve"> validate </w:t>
      </w:r>
      <w:proofErr w:type="spellStart"/>
      <w:r w:rsidRPr="00AB6881">
        <w:rPr>
          <w:rFonts w:ascii="Times New Roman" w:hAnsi="Times New Roman"/>
          <w:sz w:val="24"/>
        </w:rPr>
        <w:t>suficiente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dosare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pentru</w:t>
      </w:r>
      <w:proofErr w:type="spellEnd"/>
      <w:r w:rsidRPr="00AB6881">
        <w:rPr>
          <w:rFonts w:ascii="Times New Roman" w:hAnsi="Times New Roman"/>
          <w:sz w:val="24"/>
        </w:rPr>
        <w:t xml:space="preserve"> a </w:t>
      </w:r>
      <w:proofErr w:type="spellStart"/>
      <w:r w:rsidRPr="00AB6881">
        <w:rPr>
          <w:rFonts w:ascii="Times New Roman" w:hAnsi="Times New Roman"/>
          <w:sz w:val="24"/>
        </w:rPr>
        <w:t>îndeplini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procentele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menționate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mai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sus</w:t>
      </w:r>
      <w:proofErr w:type="spellEnd"/>
      <w:r w:rsidRPr="00AB6881">
        <w:rPr>
          <w:rFonts w:ascii="Times New Roman" w:hAnsi="Times New Roman"/>
          <w:sz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</w:rPr>
        <w:t>bursele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rămase</w:t>
      </w:r>
      <w:proofErr w:type="spellEnd"/>
      <w:r w:rsidRPr="00AB6881">
        <w:rPr>
          <w:rFonts w:ascii="Times New Roman" w:hAnsi="Times New Roman"/>
          <w:sz w:val="24"/>
        </w:rPr>
        <w:t xml:space="preserve"> se </w:t>
      </w:r>
      <w:proofErr w:type="spellStart"/>
      <w:r w:rsidRPr="00AB6881">
        <w:rPr>
          <w:rFonts w:ascii="Times New Roman" w:hAnsi="Times New Roman"/>
          <w:sz w:val="24"/>
        </w:rPr>
        <w:t>vor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redistribui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către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facultățile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rămase</w:t>
      </w:r>
      <w:proofErr w:type="spellEnd"/>
      <w:r w:rsidRPr="00AB6881">
        <w:rPr>
          <w:rFonts w:ascii="Times New Roman" w:hAnsi="Times New Roman"/>
          <w:sz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</w:rPr>
        <w:t>dacă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pentru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acestea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mai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exista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dosare</w:t>
      </w:r>
      <w:proofErr w:type="spellEnd"/>
      <w:r w:rsidRPr="00AB6881">
        <w:rPr>
          <w:rFonts w:ascii="Times New Roman" w:hAnsi="Times New Roman"/>
          <w:sz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</w:rPr>
        <w:t>bursă</w:t>
      </w:r>
      <w:proofErr w:type="spellEnd"/>
      <w:r w:rsidRPr="00AB6881">
        <w:rPr>
          <w:rFonts w:ascii="Times New Roman" w:hAnsi="Times New Roman"/>
          <w:sz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</w:rPr>
        <w:t>valabile</w:t>
      </w:r>
      <w:proofErr w:type="spellEnd"/>
      <w:r w:rsidRPr="00AB6881">
        <w:rPr>
          <w:rFonts w:ascii="Times New Roman" w:hAnsi="Times New Roman"/>
          <w:sz w:val="24"/>
        </w:rPr>
        <w:t>.</w:t>
      </w:r>
    </w:p>
    <w:p w:rsidR="00777A00" w:rsidRDefault="00777A00" w:rsidP="00777A00">
      <w:pPr>
        <w:spacing w:after="0"/>
        <w:jc w:val="both"/>
        <w:rPr>
          <w:rFonts w:ascii="Times New Roman" w:hAnsi="Times New Roman"/>
          <w:b/>
          <w:sz w:val="24"/>
        </w:rPr>
      </w:pP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b/>
          <w:sz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CAPITOLUL </w:t>
      </w:r>
      <w:r w:rsidRPr="00AB6881">
        <w:rPr>
          <w:rFonts w:ascii="Times New Roman" w:hAnsi="Times New Roman"/>
          <w:b/>
          <w:sz w:val="24"/>
        </w:rPr>
        <w:t>V. ACTE NECESARE ȘI PROCEDURA DE EVALUARE A DOSARELOR</w:t>
      </w:r>
    </w:p>
    <w:p w:rsidR="00777A00" w:rsidRPr="00AB6881" w:rsidRDefault="00777A00" w:rsidP="00777A00">
      <w:pPr>
        <w:shd w:val="clear" w:color="auto" w:fill="FFFFFF"/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20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</w:p>
    <w:p w:rsidR="00777A00" w:rsidRPr="00AB6881" w:rsidRDefault="00777A00" w:rsidP="00777A00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acordarea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punctajului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final,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funcție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activitățile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desfășurate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media </w:t>
      </w:r>
      <w:proofErr w:type="spellStart"/>
      <w:r w:rsidRPr="00AB6881">
        <w:rPr>
          <w:rFonts w:ascii="Times New Roman" w:hAnsi="Times New Roman"/>
          <w:sz w:val="24"/>
          <w:szCs w:val="24"/>
        </w:rPr>
        <w:t>aritmetică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B6881">
        <w:rPr>
          <w:rFonts w:ascii="Times New Roman" w:hAnsi="Times New Roman"/>
          <w:sz w:val="24"/>
          <w:szCs w:val="24"/>
        </w:rPr>
        <w:t>mediilor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ponderate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trebuie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prezinte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AB6881">
        <w:rPr>
          <w:rFonts w:ascii="Times New Roman" w:hAnsi="Times New Roman"/>
          <w:b/>
          <w:i/>
          <w:sz w:val="24"/>
          <w:szCs w:val="24"/>
        </w:rPr>
        <w:t>dosar</w:t>
      </w:r>
      <w:proofErr w:type="spellEnd"/>
      <w:r w:rsidRPr="00AB688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constituit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din:</w:t>
      </w:r>
    </w:p>
    <w:p w:rsidR="00777A00" w:rsidRPr="00AB6881" w:rsidRDefault="00777A00" w:rsidP="00777A00">
      <w:pPr>
        <w:pStyle w:val="ListParagraph"/>
        <w:numPr>
          <w:ilvl w:val="1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Copie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CI</w:t>
      </w:r>
    </w:p>
    <w:p w:rsidR="00777A00" w:rsidRDefault="00777A00" w:rsidP="00777A00">
      <w:pPr>
        <w:pStyle w:val="ListParagraph"/>
        <w:numPr>
          <w:ilvl w:val="1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Cont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IBAN (personal)</w:t>
      </w:r>
    </w:p>
    <w:p w:rsidR="00777A00" w:rsidRDefault="00777A00" w:rsidP="00777A00">
      <w:pPr>
        <w:pStyle w:val="ListParagraph"/>
        <w:numPr>
          <w:ilvl w:val="1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Fișă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autoevaluare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evaluare</w:t>
      </w:r>
      <w:proofErr w:type="spellEnd"/>
    </w:p>
    <w:p w:rsidR="00777A00" w:rsidRPr="00AB6881" w:rsidRDefault="00777A00" w:rsidP="00777A00">
      <w:pPr>
        <w:pStyle w:val="ListParagraph"/>
        <w:numPr>
          <w:ilvl w:val="1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Diplome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participare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B6881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AB6881">
        <w:rPr>
          <w:rFonts w:ascii="Times New Roman" w:hAnsi="Times New Roman"/>
          <w:sz w:val="24"/>
          <w:szCs w:val="24"/>
        </w:rPr>
        <w:t>specificarea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B6881">
        <w:rPr>
          <w:rFonts w:ascii="Times New Roman" w:hAnsi="Times New Roman"/>
          <w:sz w:val="24"/>
          <w:szCs w:val="24"/>
        </w:rPr>
        <w:t>punctelor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aferente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adeverință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proiectele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desfășurate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supervizor</w:t>
      </w:r>
      <w:proofErr w:type="spellEnd"/>
    </w:p>
    <w:p w:rsidR="00777A00" w:rsidRPr="00414552" w:rsidRDefault="00777A00" w:rsidP="00777A00">
      <w:pPr>
        <w:pStyle w:val="ListParagraph"/>
        <w:numPr>
          <w:ilvl w:val="1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Adeverința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doveditoare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B6881">
        <w:rPr>
          <w:rFonts w:ascii="Times New Roman" w:hAnsi="Times New Roman"/>
          <w:sz w:val="24"/>
          <w:szCs w:val="24"/>
        </w:rPr>
        <w:t>calității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student </w:t>
      </w:r>
    </w:p>
    <w:p w:rsidR="00777A00" w:rsidRPr="00AB6881" w:rsidRDefault="00777A00" w:rsidP="00777A00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cazul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B6881">
        <w:rPr>
          <w:rFonts w:ascii="Times New Roman" w:hAnsi="Times New Roman"/>
          <w:sz w:val="24"/>
          <w:szCs w:val="24"/>
        </w:rPr>
        <w:t>există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suspiciuni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privind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documentele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justificative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depuse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sprijinul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declarate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6881">
        <w:rPr>
          <w:rFonts w:ascii="Times New Roman" w:hAnsi="Times New Roman"/>
          <w:sz w:val="24"/>
          <w:szCs w:val="24"/>
        </w:rPr>
        <w:t>Universitatea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își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rezervă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dreptul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AB6881">
        <w:rPr>
          <w:rFonts w:ascii="Times New Roman" w:hAnsi="Times New Roman"/>
          <w:sz w:val="24"/>
          <w:szCs w:val="24"/>
        </w:rPr>
        <w:t>refuza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motivat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cererea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student de a </w:t>
      </w:r>
      <w:proofErr w:type="spellStart"/>
      <w:r w:rsidRPr="00AB6881">
        <w:rPr>
          <w:rFonts w:ascii="Times New Roman" w:hAnsi="Times New Roman"/>
          <w:sz w:val="24"/>
          <w:szCs w:val="24"/>
        </w:rPr>
        <w:t>participa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B6881">
        <w:rPr>
          <w:rFonts w:ascii="Times New Roman" w:hAnsi="Times New Roman"/>
          <w:sz w:val="24"/>
          <w:szCs w:val="24"/>
        </w:rPr>
        <w:t>concursul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obținerea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bursei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777A00" w:rsidRPr="00AB6881" w:rsidRDefault="00777A00" w:rsidP="00777A00">
      <w:pPr>
        <w:pStyle w:val="ListParagraph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Depunerea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dosarului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acordarea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bursei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B6881">
        <w:rPr>
          <w:rFonts w:ascii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luna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septembrie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</w:t>
      </w:r>
      <w:r w:rsidRPr="00AB6881">
        <w:rPr>
          <w:rFonts w:ascii="Times New Roman" w:eastAsia="Times New Roman" w:hAnsi="Times New Roman"/>
          <w:sz w:val="24"/>
          <w:szCs w:val="24"/>
        </w:rPr>
        <w:t>anuarie</w:t>
      </w:r>
      <w:proofErr w:type="spellEnd"/>
      <w:r w:rsidRPr="00AB688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B6881">
        <w:rPr>
          <w:rFonts w:ascii="Times New Roman" w:eastAsia="Times New Roman" w:hAnsi="Times New Roman"/>
          <w:sz w:val="24"/>
          <w:szCs w:val="24"/>
        </w:rPr>
        <w:t xml:space="preserve">a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anului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Universitar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, la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adresa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de e-mail a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Comisiei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unui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calendar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ce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f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stabilit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Comisia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</w:t>
      </w:r>
      <w:r w:rsidRPr="00AB6881">
        <w:rPr>
          <w:rFonts w:ascii="Times New Roman" w:eastAsia="Times New Roman" w:hAnsi="Times New Roman"/>
          <w:sz w:val="24"/>
          <w:szCs w:val="24"/>
        </w:rPr>
        <w:t>trib</w:t>
      </w:r>
      <w:r>
        <w:rPr>
          <w:rFonts w:ascii="Times New Roman" w:eastAsia="Times New Roman" w:hAnsi="Times New Roman"/>
          <w:sz w:val="24"/>
          <w:szCs w:val="24"/>
        </w:rPr>
        <w:t>uire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</w:t>
      </w:r>
      <w:r w:rsidRPr="00AB6881">
        <w:rPr>
          <w:rFonts w:ascii="Times New Roman" w:eastAsia="Times New Roman" w:hAnsi="Times New Roman"/>
          <w:sz w:val="24"/>
          <w:szCs w:val="24"/>
        </w:rPr>
        <w:t>urselor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publicat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pe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website-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ul</w:t>
      </w:r>
      <w:proofErr w:type="spellEnd"/>
      <w:r w:rsidRPr="00AB688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eastAsia="Times New Roman" w:hAnsi="Times New Roman"/>
          <w:sz w:val="24"/>
          <w:szCs w:val="24"/>
        </w:rPr>
        <w:t>Universității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21</w:t>
      </w:r>
      <w:r w:rsidRPr="00AB6881">
        <w:rPr>
          <w:rFonts w:ascii="Times New Roman" w:hAnsi="Times New Roman"/>
          <w:b/>
          <w:sz w:val="24"/>
          <w:szCs w:val="24"/>
        </w:rPr>
        <w:t>.</w:t>
      </w:r>
      <w:r w:rsidRPr="00AB6881">
        <w:rPr>
          <w:rFonts w:ascii="Times New Roman" w:hAnsi="Times New Roman"/>
          <w:sz w:val="24"/>
          <w:szCs w:val="24"/>
        </w:rPr>
        <w:t xml:space="preserve"> </w:t>
      </w:r>
    </w:p>
    <w:p w:rsidR="00777A00" w:rsidRPr="00AB6881" w:rsidRDefault="00777A00" w:rsidP="00777A00">
      <w:pPr>
        <w:pStyle w:val="ListParagraph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Evaluarea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dosarelor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se face de </w:t>
      </w:r>
      <w:proofErr w:type="spellStart"/>
      <w:r w:rsidRPr="00AB6881">
        <w:rPr>
          <w:rFonts w:ascii="Times New Roman" w:hAnsi="Times New Roman"/>
          <w:sz w:val="24"/>
          <w:szCs w:val="24"/>
        </w:rPr>
        <w:t>către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Comisia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Atribuire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AB6881">
        <w:rPr>
          <w:rFonts w:ascii="Times New Roman" w:hAnsi="Times New Roman"/>
          <w:sz w:val="24"/>
          <w:szCs w:val="24"/>
        </w:rPr>
        <w:t>urselor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AB6881">
        <w:rPr>
          <w:rFonts w:ascii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decide </w:t>
      </w:r>
      <w:proofErr w:type="spellStart"/>
      <w:r w:rsidRPr="00AB6881">
        <w:rPr>
          <w:rFonts w:ascii="Times New Roman" w:hAnsi="Times New Roman"/>
          <w:sz w:val="24"/>
          <w:szCs w:val="24"/>
        </w:rPr>
        <w:t>acordarea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burselor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B6881">
        <w:rPr>
          <w:rFonts w:ascii="Times New Roman" w:hAnsi="Times New Roman"/>
          <w:sz w:val="24"/>
          <w:szCs w:val="24"/>
        </w:rPr>
        <w:t>îndeplinesc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numărul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6881">
        <w:rPr>
          <w:rFonts w:ascii="Times New Roman" w:hAnsi="Times New Roman"/>
          <w:sz w:val="24"/>
          <w:szCs w:val="24"/>
        </w:rPr>
        <w:t>puncte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777A00" w:rsidRPr="00AB6881" w:rsidRDefault="00777A00" w:rsidP="00777A00">
      <w:pPr>
        <w:pStyle w:val="ListParagraph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Rezultatele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evaluării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vor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AB6881">
        <w:rPr>
          <w:rFonts w:ascii="Times New Roman" w:hAnsi="Times New Roman"/>
          <w:sz w:val="24"/>
          <w:szCs w:val="24"/>
        </w:rPr>
        <w:t>publicate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website-</w:t>
      </w:r>
      <w:proofErr w:type="spellStart"/>
      <w:r w:rsidRPr="00AB6881">
        <w:rPr>
          <w:rFonts w:ascii="Times New Roman" w:hAnsi="Times New Roman"/>
          <w:sz w:val="24"/>
          <w:szCs w:val="24"/>
        </w:rPr>
        <w:t>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777A00" w:rsidRPr="00AB6881" w:rsidRDefault="00777A00" w:rsidP="00777A00">
      <w:pPr>
        <w:pStyle w:val="ListParagraph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Lista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nominala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cuprinzând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beneficiari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burselor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414552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Pr="00414552">
        <w:rPr>
          <w:rFonts w:ascii="Times New Roman" w:hAnsi="Times New Roman"/>
          <w:sz w:val="24"/>
          <w:szCs w:val="24"/>
        </w:rPr>
        <w:t>Theodorescu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95DDF">
        <w:rPr>
          <w:rFonts w:ascii="Times New Roman" w:hAnsi="Times New Roman"/>
          <w:sz w:val="24"/>
          <w:szCs w:val="24"/>
        </w:rPr>
        <w:t xml:space="preserve">&amp; </w:t>
      </w:r>
      <w:proofErr w:type="spellStart"/>
      <w:r w:rsidRPr="00995DDF">
        <w:rPr>
          <w:rFonts w:ascii="Times New Roman" w:hAnsi="Times New Roman"/>
          <w:sz w:val="24"/>
          <w:szCs w:val="24"/>
        </w:rPr>
        <w:t>Ștefan</w:t>
      </w:r>
      <w:proofErr w:type="spellEnd"/>
      <w:r w:rsidRPr="00995D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DDF">
        <w:rPr>
          <w:rFonts w:ascii="Times New Roman" w:hAnsi="Times New Roman"/>
          <w:sz w:val="24"/>
          <w:szCs w:val="24"/>
        </w:rPr>
        <w:t>Minovici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AB6881">
        <w:rPr>
          <w:rFonts w:ascii="Times New Roman" w:hAnsi="Times New Roman"/>
          <w:sz w:val="24"/>
          <w:szCs w:val="24"/>
        </w:rPr>
        <w:t>pentru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fiecare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semestru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parte, </w:t>
      </w:r>
      <w:proofErr w:type="spellStart"/>
      <w:r w:rsidRPr="00AB6881">
        <w:rPr>
          <w:rFonts w:ascii="Times New Roman" w:hAnsi="Times New Roman"/>
          <w:sz w:val="24"/>
          <w:szCs w:val="24"/>
        </w:rPr>
        <w:t>va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AB6881">
        <w:rPr>
          <w:rFonts w:ascii="Times New Roman" w:hAnsi="Times New Roman"/>
          <w:sz w:val="24"/>
          <w:szCs w:val="24"/>
        </w:rPr>
        <w:t>înaintată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Direcției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Social,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vederea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atribuirii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sumelor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reprezentând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burse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conturile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beneficiarilor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;   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22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</w:p>
    <w:p w:rsidR="00777A00" w:rsidRPr="00AB6881" w:rsidRDefault="00777A00" w:rsidP="00777A00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urma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publicării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rezultatelor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studenții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pot face </w:t>
      </w:r>
      <w:proofErr w:type="spellStart"/>
      <w:r w:rsidRPr="00AB6881">
        <w:rPr>
          <w:rFonts w:ascii="Times New Roman" w:hAnsi="Times New Roman"/>
          <w:sz w:val="24"/>
          <w:szCs w:val="24"/>
        </w:rPr>
        <w:t>contestație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termen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24 de ore de la data </w:t>
      </w:r>
      <w:proofErr w:type="spellStart"/>
      <w:r w:rsidRPr="00AB6881">
        <w:rPr>
          <w:rFonts w:ascii="Times New Roman" w:hAnsi="Times New Roman"/>
          <w:sz w:val="24"/>
          <w:szCs w:val="24"/>
        </w:rPr>
        <w:t>publicării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rezultatelor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777A00" w:rsidRPr="00AB6881" w:rsidRDefault="00777A00" w:rsidP="00777A00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lastRenderedPageBreak/>
        <w:t>Contestațiile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vor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AB6881">
        <w:rPr>
          <w:rFonts w:ascii="Times New Roman" w:hAnsi="Times New Roman"/>
          <w:sz w:val="24"/>
          <w:szCs w:val="24"/>
        </w:rPr>
        <w:t>depuse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B6881">
        <w:rPr>
          <w:rFonts w:ascii="Times New Roman" w:hAnsi="Times New Roman"/>
          <w:sz w:val="24"/>
          <w:szCs w:val="24"/>
        </w:rPr>
        <w:t>Serviciul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Juridic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777A00" w:rsidRPr="00AB6881" w:rsidRDefault="00777A00" w:rsidP="00777A00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6881">
        <w:rPr>
          <w:rFonts w:ascii="Times New Roman" w:hAnsi="Times New Roman"/>
          <w:sz w:val="24"/>
          <w:szCs w:val="24"/>
        </w:rPr>
        <w:t>Contestațiile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vor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AB688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oluționate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AB6881">
        <w:rPr>
          <w:rFonts w:ascii="Times New Roman" w:hAnsi="Times New Roman"/>
          <w:sz w:val="24"/>
          <w:szCs w:val="24"/>
        </w:rPr>
        <w:t>tribuire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AB6881">
        <w:rPr>
          <w:rFonts w:ascii="Times New Roman" w:hAnsi="Times New Roman"/>
          <w:sz w:val="24"/>
          <w:szCs w:val="24"/>
        </w:rPr>
        <w:t>urselor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în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termen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de 48 de ore de la </w:t>
      </w:r>
      <w:proofErr w:type="spellStart"/>
      <w:r w:rsidRPr="00AB6881">
        <w:rPr>
          <w:rFonts w:ascii="Times New Roman" w:hAnsi="Times New Roman"/>
          <w:sz w:val="24"/>
          <w:szCs w:val="24"/>
        </w:rPr>
        <w:t>momentul</w:t>
      </w:r>
      <w:proofErr w:type="spellEnd"/>
      <w:r w:rsidRPr="00AB68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881">
        <w:rPr>
          <w:rFonts w:ascii="Times New Roman" w:hAnsi="Times New Roman"/>
          <w:sz w:val="24"/>
          <w:szCs w:val="24"/>
        </w:rPr>
        <w:t>depunerii</w:t>
      </w:r>
      <w:proofErr w:type="spellEnd"/>
      <w:r w:rsidRPr="00AB6881">
        <w:rPr>
          <w:rFonts w:ascii="Times New Roman" w:hAnsi="Times New Roman"/>
          <w:sz w:val="24"/>
          <w:szCs w:val="24"/>
        </w:rPr>
        <w:t>.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23</w:t>
      </w:r>
      <w:r w:rsidRPr="00AB6881">
        <w:rPr>
          <w:rFonts w:ascii="Times New Roman" w:hAnsi="Times New Roman"/>
          <w:b/>
          <w:sz w:val="24"/>
          <w:szCs w:val="24"/>
        </w:rPr>
        <w:t xml:space="preserve">. </w:t>
      </w:r>
      <w:r w:rsidRPr="00AB6881">
        <w:rPr>
          <w:rFonts w:ascii="Times New Roman" w:hAnsi="Times New Roman"/>
          <w:sz w:val="24"/>
          <w:szCs w:val="24"/>
        </w:rPr>
        <w:t>În urma soluționării contestațiilor, rezultatele finale vor fi publicate pe website-ul Universității.</w:t>
      </w:r>
    </w:p>
    <w:p w:rsidR="00777A00" w:rsidRDefault="00777A00" w:rsidP="00777A00">
      <w:pPr>
        <w:spacing w:after="0"/>
        <w:jc w:val="both"/>
        <w:rPr>
          <w:rFonts w:ascii="Times New Roman" w:hAnsi="Times New Roman"/>
          <w:b/>
          <w:sz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</w:rPr>
      </w:pPr>
      <w:r w:rsidRPr="00AB6881">
        <w:rPr>
          <w:rFonts w:ascii="Times New Roman" w:hAnsi="Times New Roman"/>
          <w:b/>
          <w:sz w:val="24"/>
        </w:rPr>
        <w:t>CAPITOLUL V</w:t>
      </w:r>
      <w:r>
        <w:rPr>
          <w:rFonts w:ascii="Times New Roman" w:hAnsi="Times New Roman"/>
          <w:b/>
          <w:sz w:val="24"/>
        </w:rPr>
        <w:t>I</w:t>
      </w:r>
      <w:r w:rsidRPr="00AB6881">
        <w:rPr>
          <w:rFonts w:ascii="Times New Roman" w:hAnsi="Times New Roman"/>
          <w:b/>
          <w:sz w:val="24"/>
        </w:rPr>
        <w:t xml:space="preserve">.  PROCEDURĂ DE ATRIBUIRE A PUNCTAJULUI PENTRU OBȚINEREA BURSELOR </w:t>
      </w:r>
      <w:r>
        <w:rPr>
          <w:rFonts w:ascii="Times New Roman" w:hAnsi="Times New Roman"/>
          <w:b/>
          <w:sz w:val="24"/>
        </w:rPr>
        <w:t>SPECIALE</w:t>
      </w:r>
    </w:p>
    <w:p w:rsidR="00777A00" w:rsidRDefault="00777A00" w:rsidP="00777A00">
      <w:pPr>
        <w:spacing w:before="24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24</w:t>
      </w:r>
      <w:r w:rsidRPr="00AB6881">
        <w:rPr>
          <w:rFonts w:ascii="Times New Roman" w:hAnsi="Times New Roman"/>
          <w:b/>
          <w:sz w:val="24"/>
        </w:rPr>
        <w:t xml:space="preserve">. </w:t>
      </w:r>
      <w:r w:rsidRPr="00AB6881">
        <w:rPr>
          <w:rFonts w:ascii="Times New Roman" w:hAnsi="Times New Roman"/>
          <w:sz w:val="24"/>
        </w:rPr>
        <w:t xml:space="preserve">Creditarea activităților de dezvoltare profesională, sociale şi culturale publicate în Calendarul Activităților și în structura asociațiilor studențești menționate în metodologie se realizează </w:t>
      </w:r>
      <w:r>
        <w:rPr>
          <w:rFonts w:ascii="Times New Roman" w:hAnsi="Times New Roman"/>
          <w:sz w:val="24"/>
        </w:rPr>
        <w:t xml:space="preserve">conform următoarei fișe de </w:t>
      </w:r>
      <w:r>
        <w:rPr>
          <w:rFonts w:ascii="Times New Roman" w:hAnsi="Times New Roman"/>
          <w:sz w:val="24"/>
          <w:szCs w:val="24"/>
        </w:rPr>
        <w:t>autoevaluare</w:t>
      </w:r>
      <w:r>
        <w:rPr>
          <w:rFonts w:ascii="Times New Roman" w:hAnsi="Times New Roman"/>
          <w:sz w:val="24"/>
        </w:rPr>
        <w:t>/evaluare:</w:t>
      </w:r>
    </w:p>
    <w:p w:rsidR="00777A00" w:rsidRDefault="00777A00" w:rsidP="00777A00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77A00" w:rsidRDefault="00777A00" w:rsidP="00777A00">
      <w:pPr>
        <w:spacing w:after="0"/>
        <w:jc w:val="center"/>
        <w:rPr>
          <w:rFonts w:ascii="Times New Roman" w:hAnsi="Times New Roman"/>
          <w:b/>
          <w:sz w:val="24"/>
        </w:rPr>
      </w:pPr>
      <w:r w:rsidRPr="00802133">
        <w:rPr>
          <w:rFonts w:ascii="Times New Roman" w:hAnsi="Times New Roman"/>
          <w:b/>
          <w:sz w:val="24"/>
        </w:rPr>
        <w:t xml:space="preserve">FIȘĂ DE AUTOEVALUARE A CANDIDATULUI ȘI EVALUARE DE CĂTRE COMISIA DE ATRIBUIRE PENTRU OBȚINEREA BURSERI SPECIALE </w:t>
      </w:r>
      <w:r>
        <w:rPr>
          <w:rFonts w:ascii="Times New Roman" w:hAnsi="Times New Roman"/>
          <w:b/>
          <w:sz w:val="24"/>
        </w:rPr>
        <w:t>„</w:t>
      </w:r>
      <w:r w:rsidRPr="00414552">
        <w:rPr>
          <w:rFonts w:ascii="Times New Roman" w:hAnsi="Times New Roman"/>
          <w:b/>
          <w:sz w:val="24"/>
        </w:rPr>
        <w:t>DAN THEODORESCU</w:t>
      </w:r>
      <w:r>
        <w:rPr>
          <w:rFonts w:ascii="Times New Roman" w:hAnsi="Times New Roman"/>
          <w:b/>
          <w:sz w:val="24"/>
        </w:rPr>
        <w:t xml:space="preserve"> </w:t>
      </w:r>
      <w:r w:rsidRPr="00995DDF">
        <w:rPr>
          <w:rFonts w:ascii="Times New Roman" w:hAnsi="Times New Roman"/>
          <w:b/>
          <w:sz w:val="24"/>
        </w:rPr>
        <w:t>&amp; ȘTEFAN MINOVICI</w:t>
      </w:r>
      <w:r w:rsidRPr="00802133">
        <w:rPr>
          <w:rFonts w:ascii="Times New Roman" w:hAnsi="Times New Roman"/>
          <w:b/>
          <w:sz w:val="24"/>
        </w:rPr>
        <w:t>”  PENTRU ACTIVITATE DE DEZVOLTARE PROFESIONALĂ, SOCIALE ȘI CULTURALE</w:t>
      </w:r>
    </w:p>
    <w:p w:rsidR="00777A00" w:rsidRPr="00802133" w:rsidRDefault="00777A00" w:rsidP="00777A00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417"/>
        <w:gridCol w:w="851"/>
        <w:gridCol w:w="2410"/>
        <w:gridCol w:w="1984"/>
      </w:tblGrid>
      <w:tr w:rsidR="00777A00" w:rsidRPr="00FE5513" w:rsidTr="00123055">
        <w:trPr>
          <w:trHeight w:val="454"/>
          <w:jc w:val="center"/>
        </w:trPr>
        <w:tc>
          <w:tcPr>
            <w:tcW w:w="2972" w:type="dxa"/>
            <w:gridSpan w:val="2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7A00" w:rsidRPr="004C741B" w:rsidRDefault="00777A00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41B">
              <w:rPr>
                <w:rFonts w:ascii="Times New Roman" w:hAnsi="Times New Roman"/>
                <w:b/>
                <w:sz w:val="24"/>
                <w:szCs w:val="24"/>
              </w:rPr>
              <w:t>H/ZI</w:t>
            </w:r>
          </w:p>
        </w:tc>
        <w:tc>
          <w:tcPr>
            <w:tcW w:w="1417" w:type="dxa"/>
            <w:vAlign w:val="center"/>
          </w:tcPr>
          <w:p w:rsidR="00777A00" w:rsidRPr="004C741B" w:rsidRDefault="00777A00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41B">
              <w:rPr>
                <w:rFonts w:ascii="Times New Roman" w:hAnsi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851" w:type="dxa"/>
            <w:vAlign w:val="center"/>
          </w:tcPr>
          <w:p w:rsidR="00777A00" w:rsidRPr="004C741B" w:rsidRDefault="00777A00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41B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410" w:type="dxa"/>
            <w:vAlign w:val="center"/>
          </w:tcPr>
          <w:p w:rsidR="00777A00" w:rsidRPr="004C741B" w:rsidRDefault="00777A00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41B">
              <w:rPr>
                <w:rFonts w:ascii="Times New Roman" w:hAnsi="Times New Roman"/>
                <w:b/>
                <w:sz w:val="24"/>
                <w:szCs w:val="24"/>
              </w:rPr>
              <w:t>AUTOEVALUARE</w:t>
            </w:r>
          </w:p>
        </w:tc>
        <w:tc>
          <w:tcPr>
            <w:tcW w:w="1984" w:type="dxa"/>
            <w:vAlign w:val="center"/>
          </w:tcPr>
          <w:p w:rsidR="00777A00" w:rsidRPr="004C741B" w:rsidRDefault="00777A00" w:rsidP="00123055">
            <w:pPr>
              <w:pStyle w:val="ListParagraph"/>
              <w:spacing w:after="0" w:line="240" w:lineRule="auto"/>
              <w:ind w:left="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41B">
              <w:rPr>
                <w:rFonts w:ascii="Times New Roman" w:hAnsi="Times New Roman"/>
                <w:b/>
                <w:sz w:val="24"/>
                <w:szCs w:val="24"/>
              </w:rPr>
              <w:t>COMISIE</w:t>
            </w: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 w:val="restart"/>
            <w:vAlign w:val="center"/>
          </w:tcPr>
          <w:p w:rsidR="00777A00" w:rsidRPr="00FE5513" w:rsidRDefault="00777A00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5513">
              <w:rPr>
                <w:rFonts w:ascii="Times New Roman" w:hAnsi="Times New Roman"/>
                <w:sz w:val="24"/>
              </w:rPr>
              <w:t xml:space="preserve">Participarea în cadrul activităților de dezvoltare profesională, </w:t>
            </w:r>
            <w:r w:rsidRPr="00FE5513">
              <w:rPr>
                <w:rFonts w:ascii="Times New Roman" w:hAnsi="Times New Roman"/>
                <w:b/>
                <w:i/>
                <w:sz w:val="24"/>
              </w:rPr>
              <w:t>categoria I</w:t>
            </w:r>
          </w:p>
        </w:tc>
        <w:tc>
          <w:tcPr>
            <w:tcW w:w="1417" w:type="dxa"/>
            <w:vMerge w:val="restart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E5513">
              <w:rPr>
                <w:rFonts w:ascii="Times New Roman" w:eastAsia="Times New Roman" w:hAnsi="Times New Roman"/>
                <w:sz w:val="24"/>
                <w:szCs w:val="24"/>
              </w:rPr>
              <w:t>coordonator de grup</w:t>
            </w: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8h/zi</w:t>
            </w:r>
          </w:p>
        </w:tc>
        <w:tc>
          <w:tcPr>
            <w:tcW w:w="1417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12p</w:t>
            </w:r>
            <w:r w:rsidRPr="00FE5513">
              <w:rPr>
                <w:rFonts w:ascii="Times New Roman" w:hAnsi="Times New Roman"/>
                <w:sz w:val="24"/>
              </w:rPr>
              <w:t>/zi/ activitate</w:t>
            </w: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&gt; 8h/zi</w:t>
            </w:r>
          </w:p>
        </w:tc>
        <w:tc>
          <w:tcPr>
            <w:tcW w:w="1417" w:type="dxa"/>
            <w:vAlign w:val="center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&lt;8h/zi</w:t>
            </w:r>
          </w:p>
        </w:tc>
        <w:tc>
          <w:tcPr>
            <w:tcW w:w="1417" w:type="dxa"/>
            <w:vAlign w:val="center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E5513">
              <w:rPr>
                <w:rFonts w:ascii="Times New Roman" w:eastAsia="Times New Roman" w:hAnsi="Times New Roman"/>
                <w:sz w:val="24"/>
                <w:szCs w:val="24"/>
              </w:rPr>
              <w:t>membru</w:t>
            </w: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8h/zi</w:t>
            </w:r>
          </w:p>
        </w:tc>
        <w:tc>
          <w:tcPr>
            <w:tcW w:w="1417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8p</w:t>
            </w:r>
            <w:r w:rsidRPr="00FE5513">
              <w:rPr>
                <w:rFonts w:ascii="Times New Roman" w:eastAsia="Times New Roman" w:hAnsi="Times New Roman"/>
                <w:sz w:val="24"/>
                <w:szCs w:val="24"/>
              </w:rPr>
              <w:t>/zi/ activitate</w:t>
            </w: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&gt; 8h/zi</w:t>
            </w:r>
          </w:p>
        </w:tc>
        <w:tc>
          <w:tcPr>
            <w:tcW w:w="1417" w:type="dxa"/>
            <w:vAlign w:val="center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&lt;8h/zi</w:t>
            </w:r>
          </w:p>
        </w:tc>
        <w:tc>
          <w:tcPr>
            <w:tcW w:w="1417" w:type="dxa"/>
            <w:vAlign w:val="center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 w:val="restart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5513">
              <w:rPr>
                <w:rFonts w:ascii="Times New Roman" w:eastAsia="Times New Roman" w:hAnsi="Times New Roman"/>
                <w:sz w:val="24"/>
                <w:szCs w:val="24"/>
              </w:rPr>
              <w:t xml:space="preserve">Participarea în cadrul activităților de dezvoltare profesională, </w:t>
            </w:r>
            <w:r w:rsidRPr="00FE551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categoria II</w:t>
            </w:r>
          </w:p>
        </w:tc>
        <w:tc>
          <w:tcPr>
            <w:tcW w:w="1417" w:type="dxa"/>
            <w:vMerge w:val="restart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E5513">
              <w:rPr>
                <w:rFonts w:ascii="Times New Roman" w:eastAsia="Times New Roman" w:hAnsi="Times New Roman"/>
                <w:sz w:val="24"/>
                <w:szCs w:val="24"/>
              </w:rPr>
              <w:t>coordonator de grup</w:t>
            </w: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8h/zi</w:t>
            </w:r>
          </w:p>
        </w:tc>
        <w:tc>
          <w:tcPr>
            <w:tcW w:w="1417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8p</w:t>
            </w:r>
            <w:r w:rsidRPr="00FE5513">
              <w:rPr>
                <w:rFonts w:ascii="Times New Roman" w:hAnsi="Times New Roman"/>
                <w:sz w:val="24"/>
              </w:rPr>
              <w:t>/zi/ activitate</w:t>
            </w: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&gt; 8h/zi</w:t>
            </w:r>
          </w:p>
        </w:tc>
        <w:tc>
          <w:tcPr>
            <w:tcW w:w="1417" w:type="dxa"/>
            <w:vAlign w:val="center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&lt;8h/zi</w:t>
            </w:r>
          </w:p>
        </w:tc>
        <w:tc>
          <w:tcPr>
            <w:tcW w:w="1417" w:type="dxa"/>
            <w:vAlign w:val="center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5513">
              <w:rPr>
                <w:rFonts w:ascii="Times New Roman" w:eastAsia="Times New Roman" w:hAnsi="Times New Roman"/>
                <w:sz w:val="24"/>
                <w:szCs w:val="24"/>
              </w:rPr>
              <w:t>membru</w:t>
            </w: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8h/zi</w:t>
            </w:r>
          </w:p>
        </w:tc>
        <w:tc>
          <w:tcPr>
            <w:tcW w:w="1417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6p</w:t>
            </w:r>
            <w:r w:rsidRPr="00FE5513">
              <w:rPr>
                <w:rFonts w:ascii="Times New Roman" w:eastAsia="Times New Roman" w:hAnsi="Times New Roman"/>
                <w:sz w:val="24"/>
                <w:szCs w:val="24"/>
              </w:rPr>
              <w:t>/zi/ activitate</w:t>
            </w: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&gt; 8h/zi</w:t>
            </w:r>
          </w:p>
        </w:tc>
        <w:tc>
          <w:tcPr>
            <w:tcW w:w="1417" w:type="dxa"/>
            <w:vAlign w:val="center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&lt;8h/zi</w:t>
            </w:r>
          </w:p>
        </w:tc>
        <w:tc>
          <w:tcPr>
            <w:tcW w:w="1417" w:type="dxa"/>
            <w:vAlign w:val="center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 w:val="restart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5513">
              <w:rPr>
                <w:rFonts w:ascii="Times New Roman" w:hAnsi="Times New Roman"/>
                <w:sz w:val="24"/>
              </w:rPr>
              <w:lastRenderedPageBreak/>
              <w:t xml:space="preserve">Participarea în cadrul activităților de dezvoltare profesională, </w:t>
            </w:r>
            <w:r w:rsidRPr="00FE5513">
              <w:rPr>
                <w:rFonts w:ascii="Times New Roman" w:hAnsi="Times New Roman"/>
                <w:b/>
                <w:i/>
                <w:sz w:val="24"/>
              </w:rPr>
              <w:t>categoria III</w:t>
            </w:r>
          </w:p>
        </w:tc>
        <w:tc>
          <w:tcPr>
            <w:tcW w:w="1417" w:type="dxa"/>
            <w:vMerge w:val="restart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E5513">
              <w:rPr>
                <w:rFonts w:ascii="Times New Roman" w:eastAsia="Times New Roman" w:hAnsi="Times New Roman"/>
                <w:sz w:val="24"/>
                <w:szCs w:val="24"/>
              </w:rPr>
              <w:t>coordonator de grup</w:t>
            </w: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8h/zi</w:t>
            </w:r>
          </w:p>
        </w:tc>
        <w:tc>
          <w:tcPr>
            <w:tcW w:w="1417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6p</w:t>
            </w:r>
            <w:r w:rsidRPr="00FE5513">
              <w:rPr>
                <w:rFonts w:ascii="Times New Roman" w:hAnsi="Times New Roman"/>
                <w:sz w:val="24"/>
              </w:rPr>
              <w:t>/zi/ activitate</w:t>
            </w: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&gt; 8h/zi</w:t>
            </w:r>
          </w:p>
        </w:tc>
        <w:tc>
          <w:tcPr>
            <w:tcW w:w="1417" w:type="dxa"/>
            <w:vAlign w:val="center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&lt;8h/zi</w:t>
            </w:r>
          </w:p>
        </w:tc>
        <w:tc>
          <w:tcPr>
            <w:tcW w:w="1417" w:type="dxa"/>
            <w:vAlign w:val="center"/>
          </w:tcPr>
          <w:p w:rsidR="00777A00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E5513">
              <w:rPr>
                <w:rFonts w:ascii="Times New Roman" w:eastAsia="Times New Roman" w:hAnsi="Times New Roman"/>
                <w:sz w:val="24"/>
                <w:szCs w:val="24"/>
              </w:rPr>
              <w:t>membru</w:t>
            </w: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8h/zi</w:t>
            </w:r>
          </w:p>
        </w:tc>
        <w:tc>
          <w:tcPr>
            <w:tcW w:w="1417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4p</w:t>
            </w:r>
            <w:r w:rsidRPr="00FE5513">
              <w:rPr>
                <w:rFonts w:ascii="Times New Roman" w:eastAsia="Times New Roman" w:hAnsi="Times New Roman"/>
                <w:sz w:val="24"/>
                <w:szCs w:val="24"/>
              </w:rPr>
              <w:t>/zi/ activitate</w:t>
            </w: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&gt; 8h/zi</w:t>
            </w:r>
          </w:p>
        </w:tc>
        <w:tc>
          <w:tcPr>
            <w:tcW w:w="1417" w:type="dxa"/>
            <w:vAlign w:val="center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716B">
              <w:rPr>
                <w:rFonts w:ascii="Times New Roman" w:hAnsi="Times New Roman"/>
                <w:b/>
                <w:sz w:val="24"/>
                <w:szCs w:val="24"/>
              </w:rPr>
              <w:t>&lt;8h/zi</w:t>
            </w:r>
          </w:p>
        </w:tc>
        <w:tc>
          <w:tcPr>
            <w:tcW w:w="1417" w:type="dxa"/>
            <w:vAlign w:val="center"/>
          </w:tcPr>
          <w:p w:rsidR="00777A00" w:rsidRDefault="00777A00" w:rsidP="001230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454"/>
          <w:jc w:val="center"/>
        </w:trPr>
        <w:tc>
          <w:tcPr>
            <w:tcW w:w="2972" w:type="dxa"/>
            <w:gridSpan w:val="2"/>
            <w:vAlign w:val="center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E5513">
              <w:rPr>
                <w:rFonts w:ascii="Times New Roman" w:hAnsi="Times New Roman"/>
                <w:b/>
                <w:sz w:val="24"/>
                <w:szCs w:val="24"/>
              </w:rPr>
              <w:t>TOTAL PUNCTAJ</w:t>
            </w:r>
          </w:p>
        </w:tc>
        <w:tc>
          <w:tcPr>
            <w:tcW w:w="1276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417"/>
        <w:gridCol w:w="1830"/>
        <w:gridCol w:w="1559"/>
        <w:gridCol w:w="2268"/>
        <w:gridCol w:w="1418"/>
      </w:tblGrid>
      <w:tr w:rsidR="00777A00" w:rsidRPr="00FE5513" w:rsidTr="00123055">
        <w:trPr>
          <w:trHeight w:val="57"/>
          <w:jc w:val="center"/>
        </w:trPr>
        <w:tc>
          <w:tcPr>
            <w:tcW w:w="9918" w:type="dxa"/>
            <w:gridSpan w:val="6"/>
          </w:tcPr>
          <w:p w:rsidR="00777A00" w:rsidRDefault="00777A00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CALCUL CUANTUM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BURSA  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conform art. 15 CAP. V)</w:t>
            </w:r>
          </w:p>
          <w:p w:rsidR="00777A00" w:rsidRPr="00677725" w:rsidRDefault="00777A00" w:rsidP="00123055">
            <w:pPr>
              <w:shd w:val="clear" w:color="auto" w:fill="FFFFFF"/>
              <w:spacing w:before="24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Formula matematică este: (Coeficient</w:t>
            </w:r>
            <w:r w:rsidRPr="00AB688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6881">
              <w:rPr>
                <w:rFonts w:ascii="Times New Roman" w:hAnsi="Times New Roman"/>
                <w:b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Bursa de merit)</w:t>
            </w:r>
          </w:p>
        </w:tc>
      </w:tr>
      <w:tr w:rsidR="00777A00" w:rsidRPr="00FE5513" w:rsidTr="00123055">
        <w:trPr>
          <w:trHeight w:val="397"/>
          <w:jc w:val="center"/>
        </w:trPr>
        <w:tc>
          <w:tcPr>
            <w:tcW w:w="1426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7A00" w:rsidRPr="0060716B" w:rsidRDefault="00777A00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PUNCTE</w:t>
            </w:r>
          </w:p>
        </w:tc>
        <w:tc>
          <w:tcPr>
            <w:tcW w:w="1830" w:type="dxa"/>
            <w:vAlign w:val="center"/>
          </w:tcPr>
          <w:p w:rsidR="00777A00" w:rsidRPr="0060716B" w:rsidRDefault="00777A00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COEFICIENT</w:t>
            </w:r>
          </w:p>
        </w:tc>
        <w:tc>
          <w:tcPr>
            <w:tcW w:w="1559" w:type="dxa"/>
            <w:vAlign w:val="center"/>
          </w:tcPr>
          <w:p w:rsidR="00777A00" w:rsidRPr="0060716B" w:rsidRDefault="00777A00" w:rsidP="0012305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BURSA DE MERIT </w:t>
            </w:r>
          </w:p>
        </w:tc>
        <w:tc>
          <w:tcPr>
            <w:tcW w:w="2268" w:type="dxa"/>
            <w:vAlign w:val="center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513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18" w:type="dxa"/>
            <w:vAlign w:val="center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513">
              <w:rPr>
                <w:rFonts w:ascii="Times New Roman" w:hAnsi="Times New Roman"/>
                <w:sz w:val="24"/>
                <w:szCs w:val="24"/>
              </w:rPr>
              <w:t>COMISIE</w:t>
            </w:r>
          </w:p>
        </w:tc>
      </w:tr>
      <w:tr w:rsidR="00777A00" w:rsidRPr="00FE5513" w:rsidTr="00123055">
        <w:trPr>
          <w:trHeight w:val="397"/>
          <w:jc w:val="center"/>
        </w:trPr>
        <w:tc>
          <w:tcPr>
            <w:tcW w:w="1426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B6881">
              <w:rPr>
                <w:rFonts w:ascii="Times New Roman" w:hAnsi="Times New Roman"/>
                <w:sz w:val="24"/>
                <w:szCs w:val="24"/>
              </w:rPr>
              <w:t xml:space="preserve">Grad I      </w:t>
            </w:r>
          </w:p>
        </w:tc>
        <w:tc>
          <w:tcPr>
            <w:tcW w:w="1417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B6881">
              <w:rPr>
                <w:rFonts w:ascii="Times New Roman" w:hAnsi="Times New Roman"/>
                <w:sz w:val="24"/>
                <w:szCs w:val="24"/>
              </w:rPr>
              <w:t>280 – 300</w:t>
            </w:r>
          </w:p>
        </w:tc>
        <w:tc>
          <w:tcPr>
            <w:tcW w:w="1830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1,4</w:t>
            </w:r>
          </w:p>
        </w:tc>
        <w:tc>
          <w:tcPr>
            <w:tcW w:w="1559" w:type="dxa"/>
            <w:vMerge w:val="restart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900 lei</w:t>
            </w:r>
          </w:p>
        </w:tc>
        <w:tc>
          <w:tcPr>
            <w:tcW w:w="2268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397"/>
          <w:jc w:val="center"/>
        </w:trPr>
        <w:tc>
          <w:tcPr>
            <w:tcW w:w="1426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B6881">
              <w:rPr>
                <w:rFonts w:ascii="Times New Roman" w:hAnsi="Times New Roman"/>
                <w:sz w:val="24"/>
                <w:szCs w:val="24"/>
              </w:rPr>
              <w:t>Grad 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B688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 – 28</w:t>
            </w:r>
            <w:r w:rsidRPr="00AB688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1,3</w:t>
            </w:r>
          </w:p>
        </w:tc>
        <w:tc>
          <w:tcPr>
            <w:tcW w:w="1559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397"/>
          <w:jc w:val="center"/>
        </w:trPr>
        <w:tc>
          <w:tcPr>
            <w:tcW w:w="1426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B6881">
              <w:rPr>
                <w:rFonts w:ascii="Times New Roman" w:hAnsi="Times New Roman"/>
                <w:sz w:val="24"/>
                <w:szCs w:val="24"/>
              </w:rPr>
              <w:t xml:space="preserve">Grad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Pr="00AB6881">
              <w:rPr>
                <w:rFonts w:ascii="Times New Roman" w:hAnsi="Times New Roman"/>
                <w:sz w:val="24"/>
                <w:szCs w:val="24"/>
              </w:rPr>
              <w:t xml:space="preserve">I      </w:t>
            </w:r>
          </w:p>
        </w:tc>
        <w:tc>
          <w:tcPr>
            <w:tcW w:w="1417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B6881">
              <w:rPr>
                <w:rFonts w:ascii="Times New Roman" w:hAnsi="Times New Roman"/>
                <w:sz w:val="24"/>
                <w:szCs w:val="24"/>
              </w:rPr>
              <w:t>240 – 260</w:t>
            </w:r>
          </w:p>
        </w:tc>
        <w:tc>
          <w:tcPr>
            <w:tcW w:w="1830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1,2</w:t>
            </w:r>
          </w:p>
        </w:tc>
        <w:tc>
          <w:tcPr>
            <w:tcW w:w="1559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A00" w:rsidRPr="00FE5513" w:rsidTr="00123055">
        <w:trPr>
          <w:trHeight w:val="397"/>
          <w:jc w:val="center"/>
        </w:trPr>
        <w:tc>
          <w:tcPr>
            <w:tcW w:w="1426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B6881">
              <w:rPr>
                <w:rFonts w:ascii="Times New Roman" w:hAnsi="Times New Roman"/>
                <w:sz w:val="24"/>
                <w:szCs w:val="24"/>
              </w:rPr>
              <w:t>Grad I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AB688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B6881">
              <w:rPr>
                <w:rFonts w:ascii="Times New Roman" w:hAnsi="Times New Roman"/>
                <w:sz w:val="24"/>
                <w:szCs w:val="24"/>
              </w:rPr>
              <w:t>220 – 240</w:t>
            </w:r>
          </w:p>
        </w:tc>
        <w:tc>
          <w:tcPr>
            <w:tcW w:w="1830" w:type="dxa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1,1</w:t>
            </w:r>
          </w:p>
        </w:tc>
        <w:tc>
          <w:tcPr>
            <w:tcW w:w="1559" w:type="dxa"/>
            <w:vMerge/>
            <w:vAlign w:val="center"/>
          </w:tcPr>
          <w:p w:rsidR="00777A00" w:rsidRPr="00FE5513" w:rsidRDefault="00777A00" w:rsidP="0012305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7A00" w:rsidRPr="00FE5513" w:rsidRDefault="00777A00" w:rsidP="0012305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6881">
        <w:rPr>
          <w:rFonts w:ascii="Times New Roman" w:eastAsia="Times New Roman" w:hAnsi="Times New Roman"/>
          <w:sz w:val="24"/>
          <w:szCs w:val="24"/>
        </w:rPr>
        <w:t> * 1 zi de activitate cuprinde un cumul de 8 ore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6881">
        <w:rPr>
          <w:rFonts w:ascii="Times New Roman" w:eastAsia="Times New Roman" w:hAnsi="Times New Roman"/>
          <w:sz w:val="24"/>
          <w:szCs w:val="24"/>
        </w:rPr>
        <w:t>** studenții care nu vor îndeplini numărul minim de 8 ore/activitate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B6881">
        <w:rPr>
          <w:rFonts w:ascii="Times New Roman" w:eastAsia="Times New Roman" w:hAnsi="Times New Roman"/>
          <w:sz w:val="24"/>
          <w:szCs w:val="24"/>
        </w:rPr>
        <w:t xml:space="preserve"> vor primi un număr proporțional de puncte stabilit obiectiv de Supervizorul de activitate desemnat de Universitate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6881">
        <w:rPr>
          <w:rFonts w:ascii="Times New Roman" w:eastAsia="Times New Roman" w:hAnsi="Times New Roman"/>
          <w:sz w:val="24"/>
          <w:szCs w:val="24"/>
        </w:rPr>
        <w:t>*** studenții care vor aloca mai mult de 8 ore/activitate de dezvoltare profesională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B6881">
        <w:rPr>
          <w:rFonts w:ascii="Times New Roman" w:eastAsia="Times New Roman" w:hAnsi="Times New Roman"/>
          <w:sz w:val="24"/>
          <w:szCs w:val="24"/>
        </w:rPr>
        <w:t xml:space="preserve"> vor primi un număr proporțional de puncte stabilit obiectiv de Supervizorul de activitate desemnat de Universitate</w:t>
      </w:r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6881">
        <w:rPr>
          <w:rFonts w:ascii="Times New Roman" w:eastAsia="Times New Roman" w:hAnsi="Times New Roman"/>
          <w:sz w:val="24"/>
          <w:szCs w:val="24"/>
        </w:rPr>
        <w:t>**** studenții din anii terminali vor primi bursa speciala „</w:t>
      </w:r>
      <w:r w:rsidRPr="00414552">
        <w:rPr>
          <w:rFonts w:ascii="Times New Roman" w:hAnsi="Times New Roman"/>
          <w:sz w:val="24"/>
          <w:szCs w:val="24"/>
        </w:rPr>
        <w:t>Dan Theodorescu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DDF">
        <w:rPr>
          <w:rFonts w:ascii="Times New Roman" w:hAnsi="Times New Roman"/>
          <w:sz w:val="24"/>
          <w:szCs w:val="24"/>
        </w:rPr>
        <w:t>&amp; Ștefan Minovici</w:t>
      </w:r>
      <w:r w:rsidRPr="00AB6881"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>, doar pentru semestrul al II-</w:t>
      </w:r>
      <w:r w:rsidRPr="00AB6881">
        <w:rPr>
          <w:rFonts w:ascii="Times New Roman" w:eastAsia="Times New Roman" w:hAnsi="Times New Roman"/>
          <w:sz w:val="24"/>
          <w:szCs w:val="24"/>
        </w:rPr>
        <w:t>lea al ultimului an de studiu. Evaluarea se va face la sfârșitul primului semestru din anul terminal de studiu. </w:t>
      </w:r>
    </w:p>
    <w:p w:rsidR="00777A00" w:rsidRPr="00B87C5D" w:rsidRDefault="00777A00" w:rsidP="00777A00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AB6881">
        <w:rPr>
          <w:rFonts w:ascii="Times New Roman" w:eastAsia="Times New Roman" w:hAnsi="Times New Roman"/>
          <w:sz w:val="24"/>
          <w:szCs w:val="24"/>
        </w:rPr>
        <w:t xml:space="preserve">***** pentru activitățile introduse în Calendarul Activităților pe parcursul anului universitar va fi specificat pe site metoda de acordare a punctelor decisă de către Comisia de </w:t>
      </w:r>
      <w:r w:rsidRPr="009A0588">
        <w:rPr>
          <w:rFonts w:ascii="Times New Roman" w:eastAsia="Times New Roman" w:hAnsi="Times New Roman"/>
          <w:sz w:val="24"/>
          <w:szCs w:val="24"/>
        </w:rPr>
        <w:t>Atribuire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</w:rPr>
      </w:pP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</w:rPr>
      </w:pP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</w:rPr>
      </w:pP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</w:rPr>
      </w:pPr>
    </w:p>
    <w:p w:rsidR="00777A00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777A00" w:rsidRPr="00AB6881" w:rsidRDefault="00777A00" w:rsidP="00777A00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B6881">
        <w:rPr>
          <w:rFonts w:ascii="Times New Roman" w:hAnsi="Times New Roman"/>
          <w:b/>
          <w:sz w:val="24"/>
        </w:rPr>
        <w:lastRenderedPageBreak/>
        <w:t>CAPITOLUL V</w:t>
      </w:r>
      <w:r w:rsidRPr="00AB6881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AB6881">
        <w:rPr>
          <w:rFonts w:ascii="Times New Roman" w:hAnsi="Times New Roman"/>
          <w:b/>
          <w:sz w:val="24"/>
          <w:szCs w:val="24"/>
        </w:rPr>
        <w:t>. DISPOZIȚII FINALE</w:t>
      </w: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25</w:t>
      </w:r>
      <w:r w:rsidRPr="00AB6881">
        <w:rPr>
          <w:rFonts w:ascii="Times New Roman" w:hAnsi="Times New Roman"/>
          <w:sz w:val="24"/>
        </w:rPr>
        <w:t>. În desfășurarea activităților de cercetare și stagii clinice internaționale, studenții vor respecta normele prevăzute în Codul universitar al drepturilor şi obligațiilor studentului Universității de Medicină şi Farmac</w:t>
      </w:r>
      <w:r>
        <w:rPr>
          <w:rFonts w:ascii="Times New Roman" w:hAnsi="Times New Roman"/>
          <w:sz w:val="24"/>
        </w:rPr>
        <w:t>ie „Carol Davila” din București.</w:t>
      </w: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sz w:val="24"/>
        </w:rPr>
      </w:pP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26</w:t>
      </w:r>
      <w:r w:rsidRPr="00AB6881">
        <w:rPr>
          <w:rFonts w:ascii="Times New Roman" w:hAnsi="Times New Roman"/>
          <w:b/>
          <w:sz w:val="24"/>
        </w:rPr>
        <w:t>.</w:t>
      </w:r>
      <w:r w:rsidRPr="00AB6881">
        <w:rPr>
          <w:rFonts w:ascii="Times New Roman" w:hAnsi="Times New Roman"/>
          <w:sz w:val="24"/>
        </w:rPr>
        <w:t xml:space="preserve"> Metodologia privind acordarea de puncte pe</w:t>
      </w:r>
      <w:r>
        <w:rPr>
          <w:rFonts w:ascii="Times New Roman" w:hAnsi="Times New Roman"/>
          <w:sz w:val="24"/>
        </w:rPr>
        <w:t xml:space="preserve">ntru obținerea bursei speciale </w:t>
      </w:r>
      <w:r w:rsidRPr="00995DDF">
        <w:rPr>
          <w:rFonts w:ascii="Times New Roman" w:hAnsi="Times New Roman"/>
          <w:sz w:val="24"/>
        </w:rPr>
        <w:t>„Dan Theodorescu &amp; Ștefan Minovici</w:t>
      </w:r>
      <w:r>
        <w:rPr>
          <w:rFonts w:ascii="Times New Roman" w:hAnsi="Times New Roman"/>
          <w:sz w:val="24"/>
        </w:rPr>
        <w:t>”</w:t>
      </w:r>
      <w:r w:rsidRPr="00AB6881">
        <w:rPr>
          <w:rFonts w:ascii="Times New Roman" w:hAnsi="Times New Roman"/>
          <w:sz w:val="24"/>
        </w:rPr>
        <w:t xml:space="preserve"> pentru cercetare și stagii clinice internaționale a fost avizată în Consiliul de Administrație al Universității la data de </w:t>
      </w:r>
      <w:r>
        <w:rPr>
          <w:rStyle w:val="slitbdy"/>
          <w:rFonts w:ascii="Times New Roman" w:hAnsi="Times New Roman"/>
          <w:color w:val="000000"/>
          <w:sz w:val="24"/>
          <w:szCs w:val="24"/>
        </w:rPr>
        <w:t>28.09.2020</w:t>
      </w:r>
      <w:r w:rsidRPr="00AB6881">
        <w:rPr>
          <w:rFonts w:ascii="Times New Roman" w:hAnsi="Times New Roman"/>
          <w:sz w:val="24"/>
        </w:rPr>
        <w:t xml:space="preserve"> şi aprobată în ședința de Senat a Universității la data de </w:t>
      </w:r>
      <w:r>
        <w:rPr>
          <w:rStyle w:val="slitbdy"/>
          <w:rFonts w:ascii="Times New Roman" w:hAnsi="Times New Roman"/>
          <w:color w:val="000000"/>
          <w:sz w:val="24"/>
          <w:szCs w:val="24"/>
        </w:rPr>
        <w:t>29.09.2020.</w:t>
      </w: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sz w:val="24"/>
        </w:rPr>
      </w:pP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27</w:t>
      </w:r>
      <w:r w:rsidRPr="00AB6881">
        <w:rPr>
          <w:rFonts w:ascii="Times New Roman" w:hAnsi="Times New Roman"/>
          <w:b/>
          <w:sz w:val="24"/>
        </w:rPr>
        <w:t>.</w:t>
      </w:r>
      <w:r w:rsidRPr="00AB6881">
        <w:rPr>
          <w:rFonts w:ascii="Times New Roman" w:hAnsi="Times New Roman"/>
          <w:sz w:val="24"/>
        </w:rPr>
        <w:t xml:space="preserve"> Modificările şi completările ulterioare vor f</w:t>
      </w:r>
      <w:r>
        <w:rPr>
          <w:rFonts w:ascii="Times New Roman" w:hAnsi="Times New Roman"/>
          <w:sz w:val="24"/>
        </w:rPr>
        <w:t>i anexate prezentei Metodologii.</w:t>
      </w: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sz w:val="24"/>
        </w:rPr>
      </w:pP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28</w:t>
      </w:r>
      <w:r w:rsidRPr="00AB6881">
        <w:rPr>
          <w:rFonts w:ascii="Times New Roman" w:hAnsi="Times New Roman"/>
          <w:b/>
          <w:sz w:val="24"/>
        </w:rPr>
        <w:t xml:space="preserve">. </w:t>
      </w:r>
      <w:r w:rsidRPr="00AB6881">
        <w:rPr>
          <w:rFonts w:ascii="Times New Roman" w:hAnsi="Times New Roman"/>
          <w:sz w:val="24"/>
        </w:rPr>
        <w:t>Prezenta metodologie intră în vigoare începân</w:t>
      </w:r>
      <w:r>
        <w:rPr>
          <w:rFonts w:ascii="Times New Roman" w:hAnsi="Times New Roman"/>
          <w:sz w:val="24"/>
        </w:rPr>
        <w:t>d cu anul universitar 2020-2021.</w:t>
      </w:r>
    </w:p>
    <w:p w:rsidR="00777A00" w:rsidRPr="00AB6881" w:rsidRDefault="00777A00" w:rsidP="00777A00">
      <w:pPr>
        <w:spacing w:after="0"/>
        <w:jc w:val="both"/>
        <w:rPr>
          <w:rFonts w:ascii="Times New Roman" w:hAnsi="Times New Roman"/>
          <w:sz w:val="24"/>
        </w:rPr>
      </w:pPr>
    </w:p>
    <w:p w:rsidR="00777A00" w:rsidRDefault="00777A00" w:rsidP="00777A0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29</w:t>
      </w:r>
      <w:r w:rsidRPr="00AB6881">
        <w:rPr>
          <w:rFonts w:ascii="Times New Roman" w:hAnsi="Times New Roman"/>
          <w:b/>
          <w:sz w:val="24"/>
        </w:rPr>
        <w:t>.</w:t>
      </w:r>
      <w:r w:rsidRPr="00AB6881">
        <w:rPr>
          <w:rFonts w:ascii="Times New Roman" w:hAnsi="Times New Roman"/>
          <w:sz w:val="24"/>
        </w:rPr>
        <w:t xml:space="preserve"> Studenții bursieri vor putea susține o prezentare a experienței într-o sesiune specială a Congresului Universității de Medicină și Farmacie ,,Carol Davila”.</w:t>
      </w:r>
    </w:p>
    <w:p w:rsidR="00211577" w:rsidRDefault="00211577"/>
    <w:sectPr w:rsidR="00211577" w:rsidSect="00777A00">
      <w:headerReference w:type="default" r:id="rId8"/>
      <w:footerReference w:type="default" r:id="rId9"/>
      <w:pgSz w:w="11906" w:h="16838"/>
      <w:pgMar w:top="1440" w:right="1440" w:bottom="1440" w:left="1440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4A8" w:rsidRDefault="00E014A8" w:rsidP="00777A00">
      <w:pPr>
        <w:spacing w:after="0" w:line="240" w:lineRule="auto"/>
      </w:pPr>
      <w:r>
        <w:separator/>
      </w:r>
    </w:p>
  </w:endnote>
  <w:endnote w:type="continuationSeparator" w:id="0">
    <w:p w:rsidR="00E014A8" w:rsidRDefault="00E014A8" w:rsidP="0077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00" w:rsidRPr="007324A4" w:rsidRDefault="00777A00" w:rsidP="00777A0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777A00" w:rsidRPr="00602880" w:rsidRDefault="00777A00" w:rsidP="00777A0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777A00" w:rsidRPr="00602880" w:rsidRDefault="00777A00" w:rsidP="00777A0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777A00" w:rsidRPr="00602880" w:rsidRDefault="00777A00" w:rsidP="00777A0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777A00" w:rsidRPr="00777A00" w:rsidRDefault="00777A00" w:rsidP="00777A0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Pr="007A6529">
        <w:rPr>
          <w:rStyle w:val="Hyperlink"/>
          <w:i/>
        </w:rPr>
        <w:t>www.umfcd.ro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4A8" w:rsidRDefault="00E014A8" w:rsidP="00777A00">
      <w:pPr>
        <w:spacing w:after="0" w:line="240" w:lineRule="auto"/>
      </w:pPr>
      <w:r>
        <w:separator/>
      </w:r>
    </w:p>
  </w:footnote>
  <w:footnote w:type="continuationSeparator" w:id="0">
    <w:p w:rsidR="00E014A8" w:rsidRDefault="00E014A8" w:rsidP="0077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00" w:rsidRPr="007324A4" w:rsidRDefault="00777A00" w:rsidP="00777A0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9525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13" name="Picture 13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777A00" w:rsidRDefault="00777A00" w:rsidP="00777A0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777A00" w:rsidRDefault="00777A00" w:rsidP="00777A0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777A00" w:rsidRPr="00777A00" w:rsidRDefault="00777A00" w:rsidP="00777A00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DB6462"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28575" b="1905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33A1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6.15pt;margin-top:8.9pt;width:46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7425"/>
    <w:multiLevelType w:val="hybridMultilevel"/>
    <w:tmpl w:val="E97CD85E"/>
    <w:lvl w:ilvl="0" w:tplc="05EEC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028549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EE1F27"/>
    <w:multiLevelType w:val="hybridMultilevel"/>
    <w:tmpl w:val="3CB4356E"/>
    <w:lvl w:ilvl="0" w:tplc="11B847C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A501D0"/>
    <w:multiLevelType w:val="hybridMultilevel"/>
    <w:tmpl w:val="86922336"/>
    <w:lvl w:ilvl="0" w:tplc="05EEC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6F4C75"/>
    <w:multiLevelType w:val="hybridMultilevel"/>
    <w:tmpl w:val="8BF6CA28"/>
    <w:lvl w:ilvl="0" w:tplc="E5AEDF3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91CCC"/>
    <w:multiLevelType w:val="hybridMultilevel"/>
    <w:tmpl w:val="63E8139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C4067A2"/>
    <w:multiLevelType w:val="hybridMultilevel"/>
    <w:tmpl w:val="E82EBEF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091197"/>
    <w:multiLevelType w:val="hybridMultilevel"/>
    <w:tmpl w:val="4B6A8FE8"/>
    <w:lvl w:ilvl="0" w:tplc="4A7A7CE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D0EBB"/>
    <w:multiLevelType w:val="hybridMultilevel"/>
    <w:tmpl w:val="85407210"/>
    <w:lvl w:ilvl="0" w:tplc="F88A55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8545E1"/>
    <w:multiLevelType w:val="hybridMultilevel"/>
    <w:tmpl w:val="019E5E50"/>
    <w:lvl w:ilvl="0" w:tplc="CE02C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1021D"/>
    <w:multiLevelType w:val="hybridMultilevel"/>
    <w:tmpl w:val="B8A887F8"/>
    <w:lvl w:ilvl="0" w:tplc="08090019">
      <w:start w:val="1"/>
      <w:numFmt w:val="lowerLetter"/>
      <w:lvlText w:val="%1."/>
      <w:lvlJc w:val="left"/>
      <w:pPr>
        <w:ind w:left="786" w:hanging="360"/>
      </w:pPr>
    </w:lvl>
    <w:lvl w:ilvl="1" w:tplc="DCD2186C">
      <w:start w:val="1"/>
      <w:numFmt w:val="decimal"/>
      <w:lvlText w:val="(%2)"/>
      <w:lvlJc w:val="left"/>
      <w:pPr>
        <w:ind w:left="435" w:hanging="435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103BFD"/>
    <w:multiLevelType w:val="hybridMultilevel"/>
    <w:tmpl w:val="BBD45E58"/>
    <w:lvl w:ilvl="0" w:tplc="BBE0357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2D1D96"/>
    <w:multiLevelType w:val="hybridMultilevel"/>
    <w:tmpl w:val="901E4660"/>
    <w:lvl w:ilvl="0" w:tplc="05EEC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C361CE"/>
    <w:multiLevelType w:val="hybridMultilevel"/>
    <w:tmpl w:val="B7DAD7D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12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BB"/>
    <w:rsid w:val="00211577"/>
    <w:rsid w:val="00777A00"/>
    <w:rsid w:val="00E014A8"/>
    <w:rsid w:val="00F7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8EB25"/>
  <w15:chartTrackingRefBased/>
  <w15:docId w15:val="{C986EF11-0950-4D80-96B8-8BA38414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0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77A00"/>
    <w:rPr>
      <w:strike w:val="0"/>
      <w:dstrike w:val="0"/>
      <w:color w:val="3580D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777A00"/>
    <w:pPr>
      <w:ind w:left="720"/>
      <w:contextualSpacing/>
    </w:pPr>
    <w:rPr>
      <w:lang w:val="en-US"/>
    </w:rPr>
  </w:style>
  <w:style w:type="character" w:customStyle="1" w:styleId="slitbdy">
    <w:name w:val="s_lit_bdy"/>
    <w:rsid w:val="00777A00"/>
  </w:style>
  <w:style w:type="paragraph" w:styleId="Header">
    <w:name w:val="header"/>
    <w:basedOn w:val="Normal"/>
    <w:link w:val="HeaderChar"/>
    <w:uiPriority w:val="99"/>
    <w:unhideWhenUsed/>
    <w:rsid w:val="00777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A00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77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A00"/>
    <w:rPr>
      <w:rFonts w:ascii="Calibri" w:eastAsia="Calibri" w:hAnsi="Calibri" w:cs="Times New Roman"/>
      <w:lang w:val="ro-RO"/>
    </w:rPr>
  </w:style>
  <w:style w:type="character" w:customStyle="1" w:styleId="apple-converted-space">
    <w:name w:val="apple-converted-space"/>
    <w:rsid w:val="0077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fcd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2149</Words>
  <Characters>12254</Characters>
  <Application>Microsoft Office Word</Application>
  <DocSecurity>0</DocSecurity>
  <Lines>102</Lines>
  <Paragraphs>28</Paragraphs>
  <ScaleCrop>false</ScaleCrop>
  <Company/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2020-11-27T13:11:00Z</dcterms:created>
  <dcterms:modified xsi:type="dcterms:W3CDTF">2020-11-27T13:13:00Z</dcterms:modified>
</cp:coreProperties>
</file>