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7B" w:rsidRPr="005C619B" w:rsidRDefault="0065587B" w:rsidP="0065587B">
      <w:pPr>
        <w:spacing w:after="0" w:line="240" w:lineRule="auto"/>
        <w:ind w:right="33"/>
        <w:jc w:val="both"/>
        <w:rPr>
          <w:rFonts w:ascii="Times New Roman" w:eastAsia="Times New Roman" w:hAnsi="Times New Roman"/>
          <w:sz w:val="20"/>
          <w:szCs w:val="24"/>
        </w:rPr>
      </w:pPr>
    </w:p>
    <w:p w:rsidR="005C619B" w:rsidRDefault="005C619B" w:rsidP="005C619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FACULTATEA DE FARMACIE</w:t>
      </w:r>
    </w:p>
    <w:p w:rsidR="005C619B" w:rsidRDefault="005C619B" w:rsidP="005C619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DEPARTAMENTUL FARMACIE II – ȘTIINȚE DE PROFIL (DE SPECIALITATE)</w:t>
      </w:r>
    </w:p>
    <w:p w:rsidR="005C619B" w:rsidRDefault="005C619B" w:rsidP="005C619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DISCIPLINA: TOXICOLOGIE</w:t>
      </w:r>
    </w:p>
    <w:p w:rsidR="0065587B" w:rsidRPr="00982620" w:rsidRDefault="0065587B" w:rsidP="0065587B">
      <w:pPr>
        <w:spacing w:after="0" w:line="240" w:lineRule="auto"/>
        <w:ind w:right="33"/>
        <w:jc w:val="both"/>
        <w:rPr>
          <w:rFonts w:ascii="Times New Roman" w:eastAsia="Times New Roman" w:hAnsi="Times New Roman"/>
          <w:sz w:val="20"/>
          <w:szCs w:val="24"/>
        </w:rPr>
      </w:pPr>
    </w:p>
    <w:p w:rsidR="005C619B" w:rsidRPr="00982620" w:rsidRDefault="005C619B" w:rsidP="0065587B">
      <w:pPr>
        <w:spacing w:after="0" w:line="240" w:lineRule="auto"/>
        <w:ind w:right="33"/>
        <w:jc w:val="both"/>
        <w:rPr>
          <w:rFonts w:ascii="Times New Roman" w:eastAsia="Times New Roman" w:hAnsi="Times New Roman"/>
          <w:sz w:val="20"/>
          <w:szCs w:val="24"/>
        </w:rPr>
      </w:pPr>
    </w:p>
    <w:p w:rsidR="005C619B" w:rsidRPr="00273804" w:rsidRDefault="005C619B" w:rsidP="005C61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8"/>
          <w:lang w:val="fr-FR" w:eastAsia="en-GB"/>
        </w:rPr>
      </w:pPr>
      <w:r w:rsidRPr="00273804">
        <w:rPr>
          <w:rFonts w:ascii="Times New Roman" w:hAnsi="Times New Roman"/>
          <w:b/>
          <w:bCs/>
          <w:sz w:val="24"/>
          <w:szCs w:val="28"/>
          <w:lang w:val="fr-FR" w:eastAsia="en-GB"/>
        </w:rPr>
        <w:t>TEMATICA DE CONCURS PENTRU POSTUL DE</w:t>
      </w:r>
    </w:p>
    <w:p w:rsidR="005C619B" w:rsidRPr="00273804" w:rsidRDefault="005C619B" w:rsidP="005C6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4"/>
          <w:szCs w:val="28"/>
          <w:lang w:val="fr-FR" w:eastAsia="en-GB"/>
        </w:rPr>
        <w:t>CONFERENȚIAR</w:t>
      </w:r>
      <w:r w:rsidRPr="00273804">
        <w:rPr>
          <w:rFonts w:ascii="Times New Roman" w:hAnsi="Times New Roman"/>
          <w:b/>
          <w:bCs/>
          <w:sz w:val="24"/>
          <w:szCs w:val="28"/>
          <w:lang w:val="fr-FR" w:eastAsia="en-GB"/>
        </w:rPr>
        <w:t xml:space="preserve"> </w:t>
      </w:r>
      <w:r w:rsidRPr="00756EF3">
        <w:rPr>
          <w:rFonts w:ascii="Times New Roman" w:hAnsi="Times New Roman"/>
          <w:b/>
          <w:bCs/>
          <w:sz w:val="24"/>
          <w:szCs w:val="28"/>
          <w:lang w:val="fr-FR" w:eastAsia="en-GB"/>
        </w:rPr>
        <w:t>UNIVERSITAR</w:t>
      </w:r>
    </w:p>
    <w:p w:rsidR="005C619B" w:rsidRPr="00982620" w:rsidRDefault="005C619B" w:rsidP="0065587B">
      <w:pPr>
        <w:spacing w:after="0" w:line="240" w:lineRule="auto"/>
        <w:ind w:right="33"/>
        <w:jc w:val="both"/>
        <w:rPr>
          <w:rFonts w:ascii="Times New Roman" w:eastAsia="Times New Roman" w:hAnsi="Times New Roman"/>
          <w:sz w:val="20"/>
          <w:szCs w:val="24"/>
        </w:rPr>
      </w:pPr>
    </w:p>
    <w:p w:rsidR="00982620" w:rsidRDefault="00982620" w:rsidP="00982620">
      <w:pPr>
        <w:spacing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iCs/>
          <w:caps/>
          <w:sz w:val="24"/>
          <w:szCs w:val="24"/>
        </w:rPr>
        <w:t>sem. i (2022-2023)</w:t>
      </w:r>
    </w:p>
    <w:p w:rsidR="00982620" w:rsidRPr="00982620" w:rsidRDefault="00982620" w:rsidP="0065587B">
      <w:pPr>
        <w:spacing w:after="0" w:line="240" w:lineRule="auto"/>
        <w:ind w:right="33"/>
        <w:jc w:val="both"/>
        <w:rPr>
          <w:rFonts w:ascii="Times New Roman" w:eastAsia="Times New Roman" w:hAnsi="Times New Roman"/>
          <w:sz w:val="20"/>
          <w:szCs w:val="24"/>
        </w:rPr>
      </w:pPr>
    </w:p>
    <w:p w:rsidR="005C619B" w:rsidRPr="00F64C70" w:rsidRDefault="005C619B" w:rsidP="005C619B">
      <w:pPr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64C70">
        <w:rPr>
          <w:rFonts w:ascii="Times New Roman" w:hAnsi="Times New Roman"/>
          <w:sz w:val="24"/>
          <w:szCs w:val="24"/>
        </w:rPr>
        <w:t xml:space="preserve">Evaluarea toxicităţii substanţelor. </w:t>
      </w:r>
    </w:p>
    <w:p w:rsidR="005C619B" w:rsidRPr="00F64C70" w:rsidRDefault="005C619B" w:rsidP="005C619B">
      <w:pPr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64C70">
        <w:rPr>
          <w:rFonts w:ascii="Times New Roman" w:hAnsi="Times New Roman"/>
          <w:sz w:val="24"/>
          <w:szCs w:val="24"/>
        </w:rPr>
        <w:t>Factorii care influenţează toxicitatea substanţelor.</w:t>
      </w:r>
    </w:p>
    <w:p w:rsidR="005C619B" w:rsidRPr="00F64C70" w:rsidRDefault="005C619B" w:rsidP="005C619B">
      <w:pPr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64C70">
        <w:rPr>
          <w:rFonts w:ascii="Times New Roman" w:hAnsi="Times New Roman"/>
          <w:sz w:val="24"/>
          <w:szCs w:val="24"/>
        </w:rPr>
        <w:t xml:space="preserve">Biotransformarea xenobioticelor; implicaţii în  activarea toxică. </w:t>
      </w:r>
    </w:p>
    <w:p w:rsidR="005C619B" w:rsidRPr="00F64C70" w:rsidRDefault="005C619B" w:rsidP="005C619B">
      <w:pPr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64C70">
        <w:rPr>
          <w:rFonts w:ascii="Times New Roman" w:hAnsi="Times New Roman"/>
          <w:sz w:val="24"/>
          <w:szCs w:val="24"/>
        </w:rPr>
        <w:t>Tipuri de acţiuni toxice.</w:t>
      </w:r>
    </w:p>
    <w:p w:rsidR="005C619B" w:rsidRPr="00F64C70" w:rsidRDefault="005C619B" w:rsidP="005C619B">
      <w:pPr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64C70">
        <w:rPr>
          <w:rFonts w:ascii="Times New Roman" w:hAnsi="Times New Roman"/>
          <w:sz w:val="24"/>
          <w:szCs w:val="24"/>
        </w:rPr>
        <w:t xml:space="preserve">Combaterea efectelor toxice ale substanţelor. Tratamentul intoxicaţiilor.  </w:t>
      </w:r>
    </w:p>
    <w:p w:rsidR="005C619B" w:rsidRPr="00F64C70" w:rsidRDefault="005C619B" w:rsidP="005C619B">
      <w:pPr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64C70">
        <w:rPr>
          <w:rFonts w:ascii="Times New Roman" w:hAnsi="Times New Roman"/>
          <w:sz w:val="24"/>
          <w:szCs w:val="24"/>
        </w:rPr>
        <w:t>Cercetarea substanţelor toxice (analiza toxicologică).</w:t>
      </w:r>
    </w:p>
    <w:p w:rsidR="005C619B" w:rsidRPr="00F64C70" w:rsidRDefault="005C619B" w:rsidP="005C619B">
      <w:pPr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64C70">
        <w:rPr>
          <w:rFonts w:ascii="Times New Roman" w:hAnsi="Times New Roman"/>
          <w:sz w:val="24"/>
          <w:szCs w:val="24"/>
        </w:rPr>
        <w:t>Toxicologia gazelor şi vaporilor: monoxidul de carbon, acidul cianhidric şi compuşii săi, clorul, dioxidul de sulf, hidrogenul sulfurat, amoniacul, oxizii de azot.</w:t>
      </w:r>
    </w:p>
    <w:p w:rsidR="005C619B" w:rsidRPr="00F64C70" w:rsidRDefault="005C619B" w:rsidP="005C619B">
      <w:pPr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64C70">
        <w:rPr>
          <w:rFonts w:ascii="Times New Roman" w:hAnsi="Times New Roman"/>
          <w:sz w:val="24"/>
          <w:szCs w:val="24"/>
        </w:rPr>
        <w:t>Toxicologia substanţelor volatile: alcoolul etilic, alcoolul metilic, etilenglicolul, benzenul, nitrobenzenul, anilina.</w:t>
      </w:r>
    </w:p>
    <w:p w:rsidR="005C619B" w:rsidRPr="00F64C70" w:rsidRDefault="005C619B" w:rsidP="005C619B">
      <w:pPr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64C70">
        <w:rPr>
          <w:rFonts w:ascii="Times New Roman" w:hAnsi="Times New Roman"/>
          <w:sz w:val="24"/>
          <w:szCs w:val="24"/>
        </w:rPr>
        <w:t>Toxicologia metalelor (plumbul şi compuşii săi, mercurul şi compuşii săi, arsenul şi compuşii săi).</w:t>
      </w:r>
    </w:p>
    <w:p w:rsidR="005C619B" w:rsidRPr="00132A99" w:rsidRDefault="005C619B" w:rsidP="005C619B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32A99">
        <w:rPr>
          <w:rFonts w:ascii="Times New Roman" w:hAnsi="Times New Roman"/>
          <w:sz w:val="24"/>
          <w:szCs w:val="24"/>
        </w:rPr>
        <w:t>Toxicologia medicamentelor</w:t>
      </w:r>
      <w:r>
        <w:rPr>
          <w:rFonts w:ascii="Times New Roman" w:hAnsi="Times New Roman"/>
          <w:sz w:val="24"/>
          <w:szCs w:val="24"/>
        </w:rPr>
        <w:t>: acizi organici (derivaţi ai</w:t>
      </w:r>
      <w:r w:rsidRPr="00132A99">
        <w:rPr>
          <w:rFonts w:ascii="Times New Roman" w:hAnsi="Times New Roman"/>
          <w:sz w:val="24"/>
          <w:szCs w:val="24"/>
        </w:rPr>
        <w:t xml:space="preserve"> acid</w:t>
      </w:r>
      <w:r>
        <w:rPr>
          <w:rFonts w:ascii="Times New Roman" w:hAnsi="Times New Roman"/>
          <w:sz w:val="24"/>
          <w:szCs w:val="24"/>
        </w:rPr>
        <w:t>ului</w:t>
      </w:r>
      <w:r w:rsidRPr="00132A99">
        <w:rPr>
          <w:rFonts w:ascii="Times New Roman" w:hAnsi="Times New Roman"/>
          <w:sz w:val="24"/>
          <w:szCs w:val="24"/>
        </w:rPr>
        <w:t xml:space="preserve"> salicilic, acizi aril-propionici</w:t>
      </w:r>
      <w:r>
        <w:rPr>
          <w:rFonts w:ascii="Times New Roman" w:hAnsi="Times New Roman"/>
          <w:sz w:val="24"/>
          <w:szCs w:val="24"/>
        </w:rPr>
        <w:t xml:space="preserve"> si aril-acetici</w:t>
      </w:r>
      <w:r w:rsidRPr="00132A99">
        <w:rPr>
          <w:rFonts w:ascii="Times New Roman" w:hAnsi="Times New Roman"/>
          <w:sz w:val="24"/>
          <w:szCs w:val="24"/>
        </w:rPr>
        <w:t>, derivaţi ai pirazolonei</w:t>
      </w:r>
      <w:r>
        <w:rPr>
          <w:rFonts w:ascii="Times New Roman" w:hAnsi="Times New Roman"/>
          <w:sz w:val="24"/>
          <w:szCs w:val="24"/>
        </w:rPr>
        <w:t>; fenamati; oxicami</w:t>
      </w:r>
      <w:r w:rsidRPr="00132A99">
        <w:rPr>
          <w:rFonts w:ascii="Times New Roman" w:hAnsi="Times New Roman"/>
          <w:sz w:val="24"/>
          <w:szCs w:val="24"/>
        </w:rPr>
        <w:t xml:space="preserve">); derivaţi ai acizilor organici – sedativ - hipnotice cu structură de ureidă şi tioureidă (derivaţi barbiturici şi tiobarbiturici), antituberculoase cu structură hidrazidică (izoniazida), amine alifatice (amfetamine), analgezice – antipiretice derivaţi ai </w:t>
      </w:r>
      <w:r w:rsidRPr="00132A99">
        <w:rPr>
          <w:rFonts w:ascii="Times New Roman" w:hAnsi="Times New Roman"/>
          <w:i/>
          <w:sz w:val="24"/>
          <w:szCs w:val="24"/>
        </w:rPr>
        <w:t>p</w:t>
      </w:r>
      <w:r w:rsidR="0069707F">
        <w:rPr>
          <w:rFonts w:ascii="Times New Roman" w:hAnsi="Times New Roman"/>
          <w:sz w:val="24"/>
          <w:szCs w:val="24"/>
        </w:rPr>
        <w:t>-aminofenolului,</w:t>
      </w:r>
      <w:r w:rsidRPr="00132A99">
        <w:rPr>
          <w:rFonts w:ascii="Times New Roman" w:hAnsi="Times New Roman"/>
          <w:sz w:val="24"/>
          <w:szCs w:val="24"/>
        </w:rPr>
        <w:t xml:space="preserve"> neuroleptice (fenotiazine, d</w:t>
      </w:r>
      <w:r>
        <w:rPr>
          <w:rFonts w:ascii="Times New Roman" w:hAnsi="Times New Roman"/>
          <w:sz w:val="24"/>
          <w:szCs w:val="24"/>
        </w:rPr>
        <w:t>erivati ai butirofenonei, derivaţ</w:t>
      </w:r>
      <w:r w:rsidRPr="00132A99">
        <w:rPr>
          <w:rFonts w:ascii="Times New Roman" w:hAnsi="Times New Roman"/>
          <w:sz w:val="24"/>
          <w:szCs w:val="24"/>
        </w:rPr>
        <w:t>i tioxantenici, alte structuri), benzodiazepine</w:t>
      </w:r>
      <w:r>
        <w:rPr>
          <w:rFonts w:ascii="Times New Roman" w:hAnsi="Times New Roman"/>
          <w:sz w:val="24"/>
          <w:szCs w:val="24"/>
        </w:rPr>
        <w:t xml:space="preserve"> ş</w:t>
      </w:r>
      <w:r w:rsidRPr="00132A99">
        <w:rPr>
          <w:rFonts w:ascii="Times New Roman" w:hAnsi="Times New Roman"/>
          <w:sz w:val="24"/>
          <w:szCs w:val="24"/>
        </w:rPr>
        <w:t>i triazolobenzodiazepine, antidepresive, antiepileptice.</w:t>
      </w:r>
    </w:p>
    <w:p w:rsidR="005C619B" w:rsidRPr="00F2568E" w:rsidRDefault="005C619B" w:rsidP="005C619B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Toxicologia substanţelor organice naturale, de semisinteză şi sinteză: alcaloizi cu nucleu piridinic (nicotina); alcaloizi cu nucleu tropanic, derivaţi ai tropanolului; alcaloizi derivaţi ai ecgoninei (cocaina); alcaloizi cu nucleu tropolonic (colchicina); alcaloizi derivaţi ai rubanului (chinina, chinidina); alcaloizi cu nucleu indolic (stricnina, alcaloizii din ergot); curara; derivaţi purinici (metilxantine); alcaloizi din opiu, opioide de semisinteză şi sinteză; antidoturi în intoxicaţia cu opioide.</w:t>
      </w:r>
    </w:p>
    <w:p w:rsidR="005C619B" w:rsidRPr="00F64C70" w:rsidRDefault="005C619B" w:rsidP="005C619B">
      <w:pPr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64C70">
        <w:rPr>
          <w:rFonts w:ascii="Times New Roman" w:hAnsi="Times New Roman"/>
          <w:sz w:val="24"/>
          <w:szCs w:val="24"/>
        </w:rPr>
        <w:t>Toxicologia halucinogenor</w:t>
      </w:r>
      <w:r>
        <w:rPr>
          <w:rFonts w:ascii="Times New Roman" w:hAnsi="Times New Roman"/>
          <w:sz w:val="24"/>
          <w:szCs w:val="24"/>
        </w:rPr>
        <w:t xml:space="preserve"> naturale și de sinteză</w:t>
      </w:r>
      <w:r w:rsidRPr="00F64C70">
        <w:rPr>
          <w:rFonts w:ascii="Times New Roman" w:hAnsi="Times New Roman"/>
          <w:sz w:val="24"/>
          <w:szCs w:val="24"/>
        </w:rPr>
        <w:t>.</w:t>
      </w:r>
    </w:p>
    <w:p w:rsidR="005C619B" w:rsidRDefault="005C619B" w:rsidP="005C619B">
      <w:pPr>
        <w:numPr>
          <w:ilvl w:val="0"/>
          <w:numId w:val="1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64C70">
        <w:rPr>
          <w:rFonts w:ascii="Times New Roman" w:hAnsi="Times New Roman"/>
          <w:sz w:val="24"/>
          <w:szCs w:val="24"/>
        </w:rPr>
        <w:t>Micotoxine produse de Macromycetae şi de Micromycetae.</w:t>
      </w:r>
    </w:p>
    <w:p w:rsidR="005C619B" w:rsidRPr="001B698E" w:rsidRDefault="005C619B" w:rsidP="005C619B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B698E">
        <w:rPr>
          <w:rFonts w:ascii="Times New Roman" w:hAnsi="Times New Roman"/>
          <w:sz w:val="24"/>
          <w:szCs w:val="24"/>
        </w:rPr>
        <w:t>Toxicologia pesticidelor: insecticide organoclorurate, organofosforice și carbamice, rodenticide, erbicide.</w:t>
      </w:r>
    </w:p>
    <w:p w:rsidR="005C619B" w:rsidRPr="00982620" w:rsidRDefault="005C619B" w:rsidP="0065587B">
      <w:pPr>
        <w:spacing w:after="0" w:line="240" w:lineRule="auto"/>
        <w:ind w:right="33"/>
        <w:jc w:val="both"/>
        <w:rPr>
          <w:rFonts w:ascii="Times New Roman" w:eastAsia="Times New Roman" w:hAnsi="Times New Roman"/>
          <w:sz w:val="20"/>
          <w:szCs w:val="24"/>
        </w:rPr>
      </w:pPr>
    </w:p>
    <w:p w:rsidR="005C619B" w:rsidRPr="00982620" w:rsidRDefault="005C619B" w:rsidP="0065587B">
      <w:pPr>
        <w:spacing w:after="0" w:line="240" w:lineRule="auto"/>
        <w:ind w:right="33"/>
        <w:jc w:val="both"/>
        <w:rPr>
          <w:rFonts w:ascii="Times New Roman" w:eastAsia="Times New Roman" w:hAnsi="Times New Roman"/>
          <w:sz w:val="20"/>
          <w:szCs w:val="24"/>
        </w:rPr>
      </w:pPr>
    </w:p>
    <w:p w:rsidR="005C619B" w:rsidRPr="00E85BB8" w:rsidRDefault="005C619B" w:rsidP="005C619B">
      <w:pPr>
        <w:rPr>
          <w:rFonts w:ascii="Times New Roman" w:hAnsi="Times New Roman"/>
          <w:b/>
          <w:sz w:val="24"/>
          <w:szCs w:val="24"/>
        </w:rPr>
      </w:pPr>
      <w:r w:rsidRPr="00E85BB8">
        <w:rPr>
          <w:rFonts w:ascii="Times New Roman" w:hAnsi="Times New Roman"/>
          <w:b/>
          <w:sz w:val="24"/>
          <w:szCs w:val="24"/>
        </w:rPr>
        <w:lastRenderedPageBreak/>
        <w:t>Bibliografie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C619B" w:rsidRPr="00F64C70" w:rsidRDefault="005C619B" w:rsidP="006B706E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4C70">
        <w:rPr>
          <w:rFonts w:ascii="Times New Roman" w:hAnsi="Times New Roman"/>
          <w:sz w:val="24"/>
          <w:szCs w:val="24"/>
        </w:rPr>
        <w:t xml:space="preserve">Dan Bălălău, </w:t>
      </w:r>
      <w:r w:rsidRPr="00C73040">
        <w:rPr>
          <w:rFonts w:ascii="Times New Roman" w:hAnsi="Times New Roman"/>
          <w:sz w:val="24"/>
          <w:szCs w:val="24"/>
        </w:rPr>
        <w:t>Daniela Baconi</w:t>
      </w:r>
      <w:r w:rsidRPr="00F64C70">
        <w:rPr>
          <w:rFonts w:ascii="Times New Roman" w:hAnsi="Times New Roman"/>
          <w:sz w:val="24"/>
          <w:szCs w:val="24"/>
        </w:rPr>
        <w:t xml:space="preserve"> – Toxicologie generală, Editura Teh</w:t>
      </w:r>
      <w:r>
        <w:rPr>
          <w:rFonts w:ascii="Times New Roman" w:hAnsi="Times New Roman"/>
          <w:sz w:val="24"/>
          <w:szCs w:val="24"/>
        </w:rPr>
        <w:t>noplast Company Bucureşti, 2005</w:t>
      </w:r>
    </w:p>
    <w:p w:rsidR="005C619B" w:rsidRDefault="005C619B" w:rsidP="006B706E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040">
        <w:rPr>
          <w:rFonts w:ascii="Times New Roman" w:hAnsi="Times New Roman"/>
          <w:sz w:val="24"/>
          <w:szCs w:val="24"/>
        </w:rPr>
        <w:t>Daniela Baconi, Dan Bălălău – Poluanți anorganici. Fișe toxicologice, Ed. Tehnoplast Company, București, 2013</w:t>
      </w:r>
    </w:p>
    <w:p w:rsidR="005C619B" w:rsidRDefault="005C619B" w:rsidP="006B706E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040">
        <w:rPr>
          <w:rFonts w:ascii="Times New Roman" w:hAnsi="Times New Roman"/>
          <w:sz w:val="24"/>
          <w:szCs w:val="24"/>
        </w:rPr>
        <w:t>Daniela Baconi, Dan Bălălău – Poluanți organici. Fișe toxicologice, Editura Tehnoplast Company Bucureşti, 2013</w:t>
      </w:r>
    </w:p>
    <w:p w:rsidR="005C619B" w:rsidRDefault="005C619B" w:rsidP="006B706E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040">
        <w:rPr>
          <w:rFonts w:ascii="Times New Roman" w:hAnsi="Times New Roman"/>
          <w:sz w:val="24"/>
          <w:szCs w:val="24"/>
        </w:rPr>
        <w:t>Daniela Baconi, Cristian Bălălău – Toxicologia substanțelor de abuz, Ed. Universitară Carol Davila, București, 2013</w:t>
      </w:r>
    </w:p>
    <w:p w:rsidR="005C619B" w:rsidRDefault="005C619B" w:rsidP="006B706E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040">
        <w:rPr>
          <w:rFonts w:ascii="Times New Roman" w:hAnsi="Times New Roman"/>
          <w:sz w:val="24"/>
          <w:szCs w:val="24"/>
        </w:rPr>
        <w:t>Negrei C, Baconi D, Stan M, Medicamente de sinteză-Ghid toxicologic – autori: Ed</w:t>
      </w:r>
      <w:r>
        <w:rPr>
          <w:rFonts w:ascii="Times New Roman" w:hAnsi="Times New Roman"/>
          <w:sz w:val="24"/>
          <w:szCs w:val="24"/>
        </w:rPr>
        <w:t>itura Printech, Bucureşti, 2015</w:t>
      </w:r>
    </w:p>
    <w:p w:rsidR="005C619B" w:rsidRPr="00F64C70" w:rsidRDefault="005C619B" w:rsidP="006B706E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4C70">
        <w:rPr>
          <w:rFonts w:ascii="Times New Roman" w:hAnsi="Times New Roman"/>
          <w:sz w:val="24"/>
          <w:szCs w:val="24"/>
        </w:rPr>
        <w:t xml:space="preserve">Dan Bălălău, </w:t>
      </w:r>
      <w:r w:rsidRPr="00C73040">
        <w:rPr>
          <w:rFonts w:ascii="Times New Roman" w:hAnsi="Times New Roman"/>
          <w:sz w:val="24"/>
          <w:szCs w:val="24"/>
        </w:rPr>
        <w:t>Daniela Baconi</w:t>
      </w:r>
      <w:r w:rsidRPr="00F64C70">
        <w:rPr>
          <w:rFonts w:ascii="Times New Roman" w:hAnsi="Times New Roman"/>
          <w:sz w:val="24"/>
          <w:szCs w:val="24"/>
        </w:rPr>
        <w:t xml:space="preserve"> – Toxicologia substanţelor organice naturale şi înrudite, Editura Tehnoplast Company </w:t>
      </w:r>
      <w:r>
        <w:rPr>
          <w:rFonts w:ascii="Times New Roman" w:hAnsi="Times New Roman"/>
          <w:sz w:val="24"/>
          <w:szCs w:val="24"/>
        </w:rPr>
        <w:t>Bucureşti, 2001</w:t>
      </w:r>
    </w:p>
    <w:p w:rsidR="005C619B" w:rsidRPr="00F64C70" w:rsidRDefault="005C619B" w:rsidP="006B706E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4C70">
        <w:rPr>
          <w:rFonts w:ascii="Times New Roman" w:hAnsi="Times New Roman"/>
          <w:sz w:val="24"/>
          <w:szCs w:val="24"/>
        </w:rPr>
        <w:t xml:space="preserve">Dan Bălălău, </w:t>
      </w:r>
      <w:r w:rsidRPr="00C73040">
        <w:rPr>
          <w:rFonts w:ascii="Times New Roman" w:hAnsi="Times New Roman"/>
          <w:sz w:val="24"/>
          <w:szCs w:val="24"/>
        </w:rPr>
        <w:t>Daniela Baconi</w:t>
      </w:r>
      <w:r w:rsidRPr="00F64C70">
        <w:rPr>
          <w:rFonts w:ascii="Times New Roman" w:hAnsi="Times New Roman"/>
          <w:sz w:val="24"/>
          <w:szCs w:val="24"/>
        </w:rPr>
        <w:t xml:space="preserve"> – Toxicologia substanţelor medicamentoase de sinteză, Editura Tehnoplast Company Bucureşti, 2005</w:t>
      </w:r>
    </w:p>
    <w:p w:rsidR="005C619B" w:rsidRPr="00F64C70" w:rsidRDefault="005C619B" w:rsidP="006B706E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040">
        <w:rPr>
          <w:rFonts w:ascii="Times New Roman" w:hAnsi="Times New Roman"/>
          <w:sz w:val="24"/>
          <w:szCs w:val="24"/>
        </w:rPr>
        <w:t>Daniela Baconi, Dan Bălălău, Pavel Abraham</w:t>
      </w:r>
      <w:r w:rsidRPr="00F64C70">
        <w:rPr>
          <w:rFonts w:ascii="Times New Roman" w:hAnsi="Times New Roman"/>
          <w:b/>
          <w:sz w:val="24"/>
          <w:szCs w:val="24"/>
        </w:rPr>
        <w:t xml:space="preserve"> </w:t>
      </w:r>
      <w:r w:rsidRPr="00F64C70">
        <w:rPr>
          <w:rFonts w:ascii="Times New Roman" w:hAnsi="Times New Roman"/>
          <w:sz w:val="24"/>
          <w:szCs w:val="24"/>
        </w:rPr>
        <w:t>– Abuzul şi toxicodependenţa. Mecanisme. Manifestări. Tratament. Legislaţie, Ed</w:t>
      </w:r>
      <w:r>
        <w:rPr>
          <w:rFonts w:ascii="Times New Roman" w:hAnsi="Times New Roman"/>
          <w:sz w:val="24"/>
          <w:szCs w:val="24"/>
        </w:rPr>
        <w:t>itura Medicală, Bucureşti, 2008</w:t>
      </w:r>
    </w:p>
    <w:p w:rsidR="005C619B" w:rsidRDefault="005C619B" w:rsidP="006B706E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040">
        <w:rPr>
          <w:rFonts w:ascii="Times New Roman" w:hAnsi="Times New Roman"/>
          <w:sz w:val="24"/>
          <w:szCs w:val="24"/>
        </w:rPr>
        <w:t>Klaasen C. – Cassaret and Doull’s Toxicology. The basic science of poisoning, Ed. a 7-a, McGraw Hill Company, 2008</w:t>
      </w:r>
    </w:p>
    <w:p w:rsidR="005C619B" w:rsidRDefault="006B706E" w:rsidP="006B706E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Shannon MW, Borron SW </w:t>
      </w:r>
      <w:r w:rsidR="005C619B" w:rsidRPr="00F64C70">
        <w:rPr>
          <w:rFonts w:ascii="Times New Roman" w:hAnsi="Times New Roman"/>
          <w:sz w:val="24"/>
          <w:szCs w:val="24"/>
        </w:rPr>
        <w:t xml:space="preserve">Burns MJ </w:t>
      </w:r>
      <w:r>
        <w:rPr>
          <w:rFonts w:ascii="Times New Roman" w:hAnsi="Times New Roman"/>
          <w:sz w:val="24"/>
          <w:szCs w:val="24"/>
        </w:rPr>
        <w:t>–</w:t>
      </w:r>
      <w:r w:rsidR="005C619B" w:rsidRPr="00F64C70">
        <w:rPr>
          <w:rFonts w:ascii="Times New Roman" w:hAnsi="Times New Roman"/>
          <w:sz w:val="24"/>
          <w:szCs w:val="24"/>
        </w:rPr>
        <w:t xml:space="preserve"> Haddad and Winchester's Clinical Management of Poisoning and Drug Overdose, 4th Edition, 2007, Saunders</w:t>
      </w:r>
    </w:p>
    <w:p w:rsidR="005C619B" w:rsidRDefault="005C619B" w:rsidP="006B706E">
      <w:pPr>
        <w:numPr>
          <w:ilvl w:val="0"/>
          <w:numId w:val="13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C73040">
        <w:rPr>
          <w:rFonts w:ascii="Times New Roman" w:hAnsi="Times New Roman"/>
          <w:sz w:val="24"/>
          <w:szCs w:val="24"/>
        </w:rPr>
        <w:t>Moffat A.C., Osselton M.D., Widdop B. ((Eds.), Clarke's Analysis of Drugs and Poisons: In Pharmaceuticals, Body Fluids and Postmortem Material, Ed. A 4-a, The Pharmaceutical Press, 2011</w:t>
      </w:r>
    </w:p>
    <w:sectPr w:rsidR="005C619B" w:rsidSect="006B706E">
      <w:headerReference w:type="default" r:id="rId7"/>
      <w:footerReference w:type="default" r:id="rId8"/>
      <w:pgSz w:w="11906" w:h="16838"/>
      <w:pgMar w:top="851" w:right="707" w:bottom="851" w:left="113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1">
    <w:p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8C" w:rsidRPr="0082408C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 w:rsidRPr="0082408C">
      <w:rPr>
        <w:rFonts w:ascii="Times New Roman" w:hAnsi="Times New Roman"/>
        <w:i/>
        <w:sz w:val="18"/>
        <w:szCs w:val="18"/>
      </w:rPr>
      <w:t>UMFCD</w:t>
    </w:r>
    <w:r w:rsidRPr="0082408C">
      <w:rPr>
        <w:rFonts w:ascii="Times New Roman" w:hAnsi="Times New Roman"/>
        <w:b/>
        <w:i/>
        <w:sz w:val="18"/>
        <w:szCs w:val="18"/>
      </w:rPr>
      <w:t>:</w:t>
    </w:r>
    <w:r w:rsidRPr="0082408C">
      <w:rPr>
        <w:rFonts w:ascii="Times New Roman" w:hAnsi="Times New Roman"/>
        <w:i/>
        <w:sz w:val="18"/>
        <w:szCs w:val="18"/>
        <w:shd w:val="clear" w:color="auto" w:fill="FAFAFA"/>
      </w:rPr>
      <w:t xml:space="preserve"> </w:t>
    </w:r>
    <w:r w:rsidR="0082408C" w:rsidRPr="0082408C">
      <w:rPr>
        <w:rFonts w:ascii="Times New Roman" w:hAnsi="Times New Roman"/>
        <w:i/>
        <w:sz w:val="18"/>
        <w:szCs w:val="18"/>
        <w:shd w:val="clear" w:color="auto" w:fill="FAFAFA"/>
      </w:rPr>
      <w:t>s</w:t>
    </w:r>
    <w:r w:rsidR="00645402">
      <w:rPr>
        <w:rFonts w:ascii="Times New Roman" w:eastAsia="Times New Roman" w:hAnsi="Times New Roman"/>
        <w:i/>
        <w:sz w:val="18"/>
        <w:szCs w:val="18"/>
      </w:rPr>
      <w:t>tr. Dionisie Lupu 37</w:t>
    </w:r>
    <w:r w:rsidR="00645402" w:rsidRPr="0082408C">
      <w:rPr>
        <w:rFonts w:ascii="Times New Roman" w:eastAsia="Times New Roman" w:hAnsi="Times New Roman"/>
        <w:i/>
        <w:sz w:val="18"/>
        <w:szCs w:val="18"/>
      </w:rPr>
      <w:t>,</w:t>
    </w:r>
    <w:r w:rsidR="00645402">
      <w:rPr>
        <w:rFonts w:ascii="Times New Roman" w:eastAsia="Times New Roman" w:hAnsi="Times New Roman"/>
        <w:i/>
        <w:sz w:val="18"/>
        <w:szCs w:val="18"/>
      </w:rPr>
      <w:t xml:space="preserve"> </w:t>
    </w:r>
    <w:r w:rsidR="00645402" w:rsidRPr="0082408C">
      <w:rPr>
        <w:rFonts w:ascii="Times New Roman" w:eastAsia="Times New Roman" w:hAnsi="Times New Roman"/>
        <w:i/>
        <w:sz w:val="18"/>
        <w:szCs w:val="18"/>
      </w:rPr>
      <w:t>sector 2</w:t>
    </w:r>
    <w:r w:rsidR="00645402">
      <w:rPr>
        <w:rFonts w:ascii="Times New Roman" w:eastAsia="Times New Roman" w:hAnsi="Times New Roman"/>
        <w:i/>
        <w:sz w:val="18"/>
        <w:szCs w:val="18"/>
      </w:rPr>
      <w:t>, București,</w:t>
    </w:r>
    <w:r w:rsidR="0082408C" w:rsidRPr="0082408C">
      <w:rPr>
        <w:rFonts w:ascii="Times New Roman" w:eastAsia="Times New Roman" w:hAnsi="Times New Roman"/>
        <w:i/>
        <w:sz w:val="18"/>
        <w:szCs w:val="18"/>
      </w:rPr>
      <w:t xml:space="preserve"> România,</w:t>
    </w:r>
    <w:r w:rsidR="0082408C" w:rsidRPr="0082408C">
      <w:rPr>
        <w:rFonts w:ascii="Times New Roman" w:hAnsi="Times New Roman"/>
        <w:i/>
        <w:sz w:val="18"/>
        <w:szCs w:val="18"/>
      </w:rPr>
      <w:t xml:space="preserve"> </w:t>
    </w:r>
  </w:p>
  <w:p w:rsidR="00416C6C" w:rsidRPr="0082408C" w:rsidRDefault="0064540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c</w:t>
    </w:r>
    <w:r w:rsidR="00416C6C" w:rsidRPr="0082408C">
      <w:rPr>
        <w:rFonts w:ascii="Times New Roman" w:hAnsi="Times New Roman"/>
        <w:i/>
        <w:sz w:val="18"/>
        <w:szCs w:val="18"/>
      </w:rPr>
      <w:t>od fiscal: 4192910</w:t>
    </w:r>
    <w:r w:rsidR="0082408C" w:rsidRPr="0082408C">
      <w:rPr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c</w:t>
    </w:r>
    <w:r w:rsidR="00416C6C" w:rsidRPr="0082408C">
      <w:rPr>
        <w:rFonts w:ascii="Times New Roman" w:hAnsi="Times New Roman"/>
        <w:i/>
        <w:sz w:val="18"/>
        <w:szCs w:val="18"/>
      </w:rPr>
      <w:t>ont: RO57TREZ70220F330500XXXX</w:t>
    </w:r>
    <w:r w:rsidR="00416C6C" w:rsidRPr="0082408C">
      <w:rPr>
        <w:rStyle w:val="apple-converted-space"/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b</w:t>
    </w:r>
    <w:r w:rsidR="00416C6C" w:rsidRPr="0082408C">
      <w:rPr>
        <w:rFonts w:ascii="Times New Roman" w:hAnsi="Times New Roman"/>
        <w:i/>
        <w:sz w:val="18"/>
        <w:szCs w:val="18"/>
      </w:rPr>
      <w:t>anca: T</w:t>
    </w:r>
    <w:r>
      <w:rPr>
        <w:rFonts w:ascii="Times New Roman" w:hAnsi="Times New Roman"/>
        <w:i/>
        <w:sz w:val="18"/>
        <w:szCs w:val="18"/>
      </w:rPr>
      <w:t>rezorerie,</w:t>
    </w:r>
    <w:r w:rsidR="00416C6C" w:rsidRPr="0082408C">
      <w:rPr>
        <w:rFonts w:ascii="Times New Roman" w:hAnsi="Times New Roman"/>
        <w:i/>
        <w:sz w:val="18"/>
        <w:szCs w:val="18"/>
      </w:rPr>
      <w:t xml:space="preserve"> sect</w:t>
    </w:r>
    <w:r>
      <w:rPr>
        <w:rFonts w:ascii="Times New Roman" w:hAnsi="Times New Roman"/>
        <w:i/>
        <w:sz w:val="18"/>
        <w:szCs w:val="18"/>
      </w:rPr>
      <w:t>or</w:t>
    </w:r>
    <w:r w:rsidR="00416C6C" w:rsidRPr="0082408C">
      <w:rPr>
        <w:rFonts w:ascii="Times New Roman" w:hAnsi="Times New Roman"/>
        <w:i/>
        <w:sz w:val="18"/>
        <w:szCs w:val="18"/>
      </w:rPr>
      <w:t xml:space="preserve"> 2</w:t>
    </w:r>
  </w:p>
  <w:p w:rsidR="00416C6C" w:rsidRPr="0082408C" w:rsidRDefault="0064540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t</w:t>
    </w:r>
    <w:r w:rsidR="00416C6C" w:rsidRPr="0082408C">
      <w:rPr>
        <w:rFonts w:ascii="Times New Roman" w:hAnsi="Times New Roman"/>
        <w:i/>
        <w:sz w:val="18"/>
        <w:szCs w:val="18"/>
      </w:rPr>
      <w:t>el: +40.21 318.0719; +40.21 318.0721; +40.21 318.0722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1">
    <w:p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6C" w:rsidRPr="00D52814" w:rsidRDefault="00E5638B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eastAsia="ro-RO"/>
      </w:rPr>
      <w:drawing>
        <wp:inline distT="0" distB="0" distL="0" distR="0">
          <wp:extent cx="6119495" cy="9639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_farmacie_disci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51D66"/>
    <w:multiLevelType w:val="hybridMultilevel"/>
    <w:tmpl w:val="F6C8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8BD"/>
    <w:multiLevelType w:val="hybridMultilevel"/>
    <w:tmpl w:val="789A1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5699A"/>
    <w:multiLevelType w:val="hybridMultilevel"/>
    <w:tmpl w:val="6812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56BE1"/>
    <w:multiLevelType w:val="hybridMultilevel"/>
    <w:tmpl w:val="794247DE"/>
    <w:lvl w:ilvl="0" w:tplc="99002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D59C3"/>
    <w:multiLevelType w:val="hybridMultilevel"/>
    <w:tmpl w:val="1DCC98BE"/>
    <w:lvl w:ilvl="0" w:tplc="ABB26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AB2076"/>
    <w:multiLevelType w:val="hybridMultilevel"/>
    <w:tmpl w:val="EFF4E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2F6C32"/>
    <w:multiLevelType w:val="hybridMultilevel"/>
    <w:tmpl w:val="1C985B12"/>
    <w:lvl w:ilvl="0" w:tplc="AB7AF1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E577AA"/>
    <w:rsid w:val="00003EA9"/>
    <w:rsid w:val="00020687"/>
    <w:rsid w:val="00020C0D"/>
    <w:rsid w:val="000524E8"/>
    <w:rsid w:val="00060B62"/>
    <w:rsid w:val="000751E5"/>
    <w:rsid w:val="000A0AFC"/>
    <w:rsid w:val="000A4C2C"/>
    <w:rsid w:val="000B443A"/>
    <w:rsid w:val="000F14B5"/>
    <w:rsid w:val="001315B0"/>
    <w:rsid w:val="001525EC"/>
    <w:rsid w:val="00157134"/>
    <w:rsid w:val="001929BD"/>
    <w:rsid w:val="001A038C"/>
    <w:rsid w:val="002168B2"/>
    <w:rsid w:val="00236A38"/>
    <w:rsid w:val="00257831"/>
    <w:rsid w:val="00272F7E"/>
    <w:rsid w:val="00273804"/>
    <w:rsid w:val="00286756"/>
    <w:rsid w:val="00292CC1"/>
    <w:rsid w:val="002B5950"/>
    <w:rsid w:val="002C0B2B"/>
    <w:rsid w:val="002D3446"/>
    <w:rsid w:val="002E3DBC"/>
    <w:rsid w:val="002F2772"/>
    <w:rsid w:val="00320FF9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325"/>
    <w:rsid w:val="00583A58"/>
    <w:rsid w:val="00591F57"/>
    <w:rsid w:val="00596044"/>
    <w:rsid w:val="005C18C6"/>
    <w:rsid w:val="005C619B"/>
    <w:rsid w:val="005D18A3"/>
    <w:rsid w:val="005D3B29"/>
    <w:rsid w:val="005E057A"/>
    <w:rsid w:val="005F62CE"/>
    <w:rsid w:val="00602880"/>
    <w:rsid w:val="00617E2C"/>
    <w:rsid w:val="00637390"/>
    <w:rsid w:val="00637A86"/>
    <w:rsid w:val="00645402"/>
    <w:rsid w:val="0065587B"/>
    <w:rsid w:val="00663774"/>
    <w:rsid w:val="0066480B"/>
    <w:rsid w:val="00665A88"/>
    <w:rsid w:val="00681534"/>
    <w:rsid w:val="00687397"/>
    <w:rsid w:val="00695EAD"/>
    <w:rsid w:val="0069707F"/>
    <w:rsid w:val="006A0AC7"/>
    <w:rsid w:val="006B3E30"/>
    <w:rsid w:val="006B4AF7"/>
    <w:rsid w:val="006B706E"/>
    <w:rsid w:val="006C3B33"/>
    <w:rsid w:val="006C7DE0"/>
    <w:rsid w:val="006D5DD7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408C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8F6B68"/>
    <w:rsid w:val="009123B7"/>
    <w:rsid w:val="00913E9B"/>
    <w:rsid w:val="0091799B"/>
    <w:rsid w:val="00934D68"/>
    <w:rsid w:val="009505D9"/>
    <w:rsid w:val="0096260B"/>
    <w:rsid w:val="009643ED"/>
    <w:rsid w:val="009678A4"/>
    <w:rsid w:val="00982620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90F1B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5FEC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40DB9"/>
    <w:rsid w:val="00C616A3"/>
    <w:rsid w:val="00C750BA"/>
    <w:rsid w:val="00C80D60"/>
    <w:rsid w:val="00C87DD7"/>
    <w:rsid w:val="00C92842"/>
    <w:rsid w:val="00CA1601"/>
    <w:rsid w:val="00CB0C61"/>
    <w:rsid w:val="00CB62F7"/>
    <w:rsid w:val="00CB7469"/>
    <w:rsid w:val="00CC27D1"/>
    <w:rsid w:val="00CE132E"/>
    <w:rsid w:val="00CF0D30"/>
    <w:rsid w:val="00CF14ED"/>
    <w:rsid w:val="00CF3A50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64539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638B"/>
    <w:rsid w:val="00E577AA"/>
    <w:rsid w:val="00E70B59"/>
    <w:rsid w:val="00E87411"/>
    <w:rsid w:val="00E97718"/>
    <w:rsid w:val="00EA2EB1"/>
    <w:rsid w:val="00EA7A9A"/>
    <w:rsid w:val="00EC2E69"/>
    <w:rsid w:val="00EE095E"/>
    <w:rsid w:val="00EE2B75"/>
    <w:rsid w:val="00EF0446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C6E43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Nicoleta</cp:lastModifiedBy>
  <cp:revision>7</cp:revision>
  <cp:lastPrinted>2022-09-30T14:36:00Z</cp:lastPrinted>
  <dcterms:created xsi:type="dcterms:W3CDTF">2022-12-13T11:25:00Z</dcterms:created>
  <dcterms:modified xsi:type="dcterms:W3CDTF">2022-12-13T12:59:00Z</dcterms:modified>
</cp:coreProperties>
</file>