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C" w:rsidRPr="00FC7A28" w:rsidRDefault="00416C6C" w:rsidP="00272F7E">
      <w:pPr>
        <w:spacing w:after="0" w:line="240" w:lineRule="auto"/>
        <w:rPr>
          <w:rFonts w:ascii="Times New Roman" w:hAnsi="Times New Roman"/>
          <w:sz w:val="20"/>
        </w:rPr>
      </w:pPr>
    </w:p>
    <w:p w:rsidR="008D1F4A" w:rsidRDefault="008D1F4A" w:rsidP="00856FD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FACULTATEA DE FARMACIE</w:t>
      </w:r>
    </w:p>
    <w:p w:rsidR="008D1F4A" w:rsidRDefault="008D1F4A" w:rsidP="00856FD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DEPARTAMENTUL FARMACIE II – ȘTIINȚE DE PROFIL (DE SPECIALITATE)</w:t>
      </w:r>
    </w:p>
    <w:p w:rsidR="008D1F4A" w:rsidRDefault="008D1F4A" w:rsidP="00856FD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DISCIPLINA: FARMACOGNOZIE, FITOCHIMIE ŞI FITOTERAPIE</w:t>
      </w:r>
    </w:p>
    <w:p w:rsidR="00272F7E" w:rsidRDefault="00272F7E" w:rsidP="00FC7A2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72F7E" w:rsidRPr="00743872" w:rsidRDefault="00272F7E" w:rsidP="00FC7A2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D0D4F" w:rsidRPr="00C94F6A" w:rsidRDefault="00CD0D4F" w:rsidP="00E0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0C3">
        <w:rPr>
          <w:rFonts w:ascii="Times New Roman" w:hAnsi="Times New Roman"/>
          <w:b/>
          <w:sz w:val="24"/>
          <w:szCs w:val="24"/>
          <w:lang w:val="fr-FR"/>
        </w:rPr>
        <w:t xml:space="preserve">TEMATICA </w:t>
      </w:r>
      <w:r w:rsidR="00455334" w:rsidRPr="00DB20C3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DB20C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94F6A">
        <w:rPr>
          <w:rFonts w:ascii="Times New Roman" w:hAnsi="Times New Roman"/>
          <w:b/>
          <w:sz w:val="24"/>
          <w:szCs w:val="24"/>
        </w:rPr>
        <w:t xml:space="preserve">CONCURS </w:t>
      </w:r>
      <w:r w:rsidR="00455334">
        <w:rPr>
          <w:rFonts w:ascii="Times New Roman" w:hAnsi="Times New Roman"/>
          <w:b/>
          <w:sz w:val="24"/>
          <w:szCs w:val="24"/>
        </w:rPr>
        <w:t>PENTRU</w:t>
      </w:r>
      <w:r w:rsidRPr="00C94F6A">
        <w:rPr>
          <w:rFonts w:ascii="Times New Roman" w:hAnsi="Times New Roman"/>
          <w:b/>
          <w:sz w:val="24"/>
          <w:szCs w:val="24"/>
        </w:rPr>
        <w:t xml:space="preserve"> POSTUL DE ASISTENT UNIVERSITAR</w:t>
      </w:r>
    </w:p>
    <w:p w:rsidR="00CD0D4F" w:rsidRDefault="00CD0D4F" w:rsidP="00E00D59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</w:p>
    <w:p w:rsidR="00E00D59" w:rsidRDefault="00E00D59" w:rsidP="00E00D5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sem. i (2022-2023)</w:t>
      </w:r>
    </w:p>
    <w:p w:rsidR="00E00D59" w:rsidRPr="00FC7A28" w:rsidRDefault="00E00D59" w:rsidP="00E00D59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Poliholozide omogene și mixte.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Acizi grași esențiali. Importanță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Lipide cu asociere în terapeutică/industria farmaceutică.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Lectine, importanță terapeutică. Surse vegetale.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Arbutozidă și derivați.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Heterozide derivate de la saligenol, salicilat de metil, aldehida salicilică.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Acizi fenolcarboxilici cu relevanță terapeutică. Surse vegetale cu asociere în terapeutică.</w:t>
      </w:r>
    </w:p>
    <w:p w:rsidR="00CD0D4F" w:rsidRPr="007432B4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Gingeroli și curcuminoide.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Derivați cumarinici și furanocromonici.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Derivați lignanici.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Flavonozide.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Antocianozide.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Proantocianozide.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Taninuri.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Naftochinone, Antracenozide, Naftodiantrone. Surse vegetale cu asociere în terapeutică.</w:t>
      </w:r>
    </w:p>
    <w:p w:rsidR="00CD0D4F" w:rsidRPr="007432B4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Derivați terpenici. Iridoide/Secoiridoide, Diterpene, Sesquiterpene.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Saponozide sterolice și triterpenice.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Heterozide cardiotonice. 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Vitamine din regnul vegetal și animal.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Produse vegetale/uleiuri volatile cu monoterpene.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Produse vegetale/uleiuri volatile cu sesquiterpene.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Produse vegetale/uleiuri volatile cu derivați aromatici.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Rezine cu importanță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tropanici cu utilizare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izochinolinici cu utilizare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indolici cu utilizare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purinici cu utilizare terapeutică.</w:t>
      </w:r>
    </w:p>
    <w:p w:rsidR="00CD0D4F" w:rsidRDefault="00CD0D4F" w:rsidP="00E00D5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Protoalcaloizi cu utilizare terapeutică.</w:t>
      </w:r>
    </w:p>
    <w:p w:rsidR="00CD0D4F" w:rsidRDefault="00CD0D4F" w:rsidP="00CD0D4F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NB. La produsele vegetale/animale se prezintă compoziția chimică (cu exemplificări de structuri chimice), acțiunile terapeutice, mecanismul/mecanismele de acțiune (acolo unde este cazul), întrebuințările, modul de administrare, reacțiile adverse (dacă este cazul), contraindicațiile (dacă este cazul), interacțiunea medicamentoasă (dacă este cazul), 1-2 fitomedicamente/su</w:t>
      </w:r>
      <w:r w:rsidR="00856FDC">
        <w:rPr>
          <w:rFonts w:ascii="Times New Roman" w:hAnsi="Times New Roman"/>
          <w:sz w:val="24"/>
        </w:rPr>
        <w:t>plimente/ dispozitive medicale.</w:t>
      </w:r>
    </w:p>
    <w:p w:rsidR="00856FDC" w:rsidRPr="00856FDC" w:rsidRDefault="00856FDC" w:rsidP="00E00D59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CD0D4F" w:rsidRDefault="00CD0D4F" w:rsidP="00CD0D4F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fiecare clasă de compuși se prezintă toate structurile chimice aferente, acțiunea terapeutică generală a clasei și specifică pentru anumiți compuși, mecanismul de acțiune, întrebuințările, exemple de fitomedicamente/suplimente, modul de administrare, reacțiile adverse (dacă este cazul), contraindicațiile (dacă este cazul), interacțiunea medicamentoasă (dacă este cazul).</w:t>
      </w:r>
    </w:p>
    <w:p w:rsidR="00CD0D4F" w:rsidRPr="00FC7A28" w:rsidRDefault="00CD0D4F" w:rsidP="00E00D59">
      <w:pPr>
        <w:spacing w:after="0" w:line="240" w:lineRule="auto"/>
        <w:rPr>
          <w:rFonts w:ascii="Times New Roman" w:hAnsi="Times New Roman"/>
          <w:sz w:val="20"/>
        </w:rPr>
      </w:pPr>
    </w:p>
    <w:p w:rsidR="00CD0D4F" w:rsidRPr="00455334" w:rsidRDefault="00CD0D4F" w:rsidP="00DB20C3">
      <w:pPr>
        <w:spacing w:after="0" w:line="360" w:lineRule="auto"/>
        <w:rPr>
          <w:rFonts w:ascii="Times New Roman" w:hAnsi="Times New Roman"/>
          <w:b/>
          <w:bCs/>
          <w:sz w:val="24"/>
        </w:rPr>
      </w:pPr>
      <w:r w:rsidRPr="00455334">
        <w:rPr>
          <w:rFonts w:ascii="Times New Roman" w:hAnsi="Times New Roman"/>
          <w:b/>
          <w:bCs/>
          <w:sz w:val="24"/>
        </w:rPr>
        <w:t>Bibliografie: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1. Istudor V, Farmacognozie, Fitochimie, Fitoterapie, Editura Medicală, Bucureşti, 1998, vol. I 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2. Istudor V, Farmacognozie, Fitochimie, Fitoterapie, Editura Medicală, Bucureşti, 2001, vol. II 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3. Istudor V, Farmacognozie, Fitochimie, Fitoterapie, Editura Medicală, Bucureşti, 2005, vol. III 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4. Gîrd CE, Curs de farmacognozie, fitochimie, fitoterapie, Editura Printech, Bucureşti, 2013, vol. I, ediţia a II-a 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5. Gîrd CE, Curs de farmacognozie, fitochimie, fitoterapie, Editura Printech, Bucureşti, 2014, vol. II, ediţia a II-a 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>6. Stănescu U, Hăncianu M, Gîrd CE, Farmacognozie: produse vegetale cu substanțe bioactive. Editura Polirom, Iași, 2020</w:t>
      </w:r>
    </w:p>
    <w:p w:rsidR="00CD0D4F" w:rsidRDefault="00CD0D4F" w:rsidP="00CD0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71669">
        <w:rPr>
          <w:rFonts w:ascii="Times New Roman" w:hAnsi="Times New Roman"/>
          <w:sz w:val="24"/>
          <w:szCs w:val="24"/>
        </w:rPr>
        <w:t>Gîrd CE, Duțu LE, Popescu M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 xml:space="preserve">, Nencu I, Costea T, Analiza farmacognostică a produselor vegetale cu metaboliți primari și secundari, vol. I, Editura Universitară ,,Carol Davila“, București, 2020 </w:t>
      </w:r>
    </w:p>
    <w:p w:rsidR="00CD0D4F" w:rsidRDefault="00CD0D4F" w:rsidP="00CD0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1669">
        <w:rPr>
          <w:rFonts w:ascii="Times New Roman" w:hAnsi="Times New Roman"/>
          <w:sz w:val="24"/>
          <w:szCs w:val="24"/>
        </w:rPr>
        <w:t xml:space="preserve">. Gîrd CE, Duțu LEPopescu MLNencu I, Costea T, Farmacognozie practică, vol. I, Editura Universitară ,,Carol Davila“, București, 2020 </w:t>
      </w:r>
    </w:p>
    <w:p w:rsidR="00CD0D4F" w:rsidRDefault="00CD0D4F" w:rsidP="00CD0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71669">
        <w:rPr>
          <w:rFonts w:ascii="Times New Roman" w:hAnsi="Times New Roman"/>
          <w:sz w:val="24"/>
          <w:szCs w:val="24"/>
        </w:rPr>
        <w:t xml:space="preserve"> Gîrd </w:t>
      </w:r>
      <w:r>
        <w:rPr>
          <w:rFonts w:ascii="Times New Roman" w:hAnsi="Times New Roman"/>
          <w:sz w:val="24"/>
          <w:szCs w:val="24"/>
        </w:rPr>
        <w:t>CE</w:t>
      </w:r>
      <w:r w:rsidRPr="00071669">
        <w:rPr>
          <w:rFonts w:ascii="Times New Roman" w:hAnsi="Times New Roman"/>
          <w:sz w:val="24"/>
          <w:szCs w:val="24"/>
        </w:rPr>
        <w:t xml:space="preserve">, Duțu </w:t>
      </w:r>
      <w:r>
        <w:rPr>
          <w:rFonts w:ascii="Times New Roman" w:hAnsi="Times New Roman"/>
          <w:sz w:val="24"/>
          <w:szCs w:val="24"/>
        </w:rPr>
        <w:t>LE</w:t>
      </w:r>
      <w:r w:rsidRPr="00071669">
        <w:rPr>
          <w:rFonts w:ascii="Times New Roman" w:hAnsi="Times New Roman"/>
          <w:sz w:val="24"/>
          <w:szCs w:val="24"/>
        </w:rPr>
        <w:t xml:space="preserve">, Popescu </w:t>
      </w:r>
      <w:r>
        <w:rPr>
          <w:rFonts w:ascii="Times New Roman" w:hAnsi="Times New Roman"/>
          <w:sz w:val="24"/>
          <w:szCs w:val="24"/>
        </w:rPr>
        <w:t>ML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T</w:t>
      </w:r>
      <w:r w:rsidRPr="00071669">
        <w:rPr>
          <w:rFonts w:ascii="Times New Roman" w:hAnsi="Times New Roman"/>
          <w:sz w:val="24"/>
          <w:szCs w:val="24"/>
        </w:rPr>
        <w:t xml:space="preserve">, Ioniță </w:t>
      </w:r>
      <w:r>
        <w:rPr>
          <w:rFonts w:ascii="Times New Roman" w:hAnsi="Times New Roman"/>
          <w:sz w:val="24"/>
          <w:szCs w:val="24"/>
        </w:rPr>
        <w:t>EI</w:t>
      </w:r>
      <w:r w:rsidRPr="00071669">
        <w:rPr>
          <w:rFonts w:ascii="Times New Roman" w:hAnsi="Times New Roman"/>
          <w:sz w:val="24"/>
          <w:szCs w:val="24"/>
        </w:rPr>
        <w:t xml:space="preserve">, Luță </w:t>
      </w:r>
      <w:r>
        <w:rPr>
          <w:rFonts w:ascii="Times New Roman" w:hAnsi="Times New Roman"/>
          <w:sz w:val="24"/>
          <w:szCs w:val="24"/>
        </w:rPr>
        <w:t>EA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 xml:space="preserve">, Farmacognozie practică, vol II, Editura Universitară ,,Carol Davila“, București, 2021 </w:t>
      </w:r>
    </w:p>
    <w:p w:rsidR="00D82178" w:rsidRPr="00FC7A28" w:rsidRDefault="00CD0D4F" w:rsidP="00FC7A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71669">
        <w:rPr>
          <w:rFonts w:ascii="Times New Roman" w:hAnsi="Times New Roman"/>
          <w:sz w:val="24"/>
          <w:szCs w:val="24"/>
        </w:rPr>
        <w:t xml:space="preserve">. Gîrd </w:t>
      </w:r>
      <w:r>
        <w:rPr>
          <w:rFonts w:ascii="Times New Roman" w:hAnsi="Times New Roman"/>
          <w:sz w:val="24"/>
          <w:szCs w:val="24"/>
        </w:rPr>
        <w:t>CE</w:t>
      </w:r>
      <w:r w:rsidRPr="00071669">
        <w:rPr>
          <w:rFonts w:ascii="Times New Roman" w:hAnsi="Times New Roman"/>
          <w:sz w:val="24"/>
          <w:szCs w:val="24"/>
        </w:rPr>
        <w:t xml:space="preserve">, Duțu </w:t>
      </w:r>
      <w:r>
        <w:rPr>
          <w:rFonts w:ascii="Times New Roman" w:hAnsi="Times New Roman"/>
          <w:sz w:val="24"/>
          <w:szCs w:val="24"/>
        </w:rPr>
        <w:t>LE</w:t>
      </w:r>
      <w:r w:rsidRPr="00071669">
        <w:rPr>
          <w:rFonts w:ascii="Times New Roman" w:hAnsi="Times New Roman"/>
          <w:sz w:val="24"/>
          <w:szCs w:val="24"/>
        </w:rPr>
        <w:t xml:space="preserve">, Popescu </w:t>
      </w:r>
      <w:r>
        <w:rPr>
          <w:rFonts w:ascii="Times New Roman" w:hAnsi="Times New Roman"/>
          <w:sz w:val="24"/>
          <w:szCs w:val="24"/>
        </w:rPr>
        <w:t>ML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T</w:t>
      </w:r>
      <w:r w:rsidRPr="00071669">
        <w:rPr>
          <w:rFonts w:ascii="Times New Roman" w:hAnsi="Times New Roman"/>
          <w:sz w:val="24"/>
          <w:szCs w:val="24"/>
        </w:rPr>
        <w:t xml:space="preserve">, Ioniță </w:t>
      </w:r>
      <w:r>
        <w:rPr>
          <w:rFonts w:ascii="Times New Roman" w:hAnsi="Times New Roman"/>
          <w:sz w:val="24"/>
          <w:szCs w:val="24"/>
        </w:rPr>
        <w:t>EI</w:t>
      </w:r>
      <w:r w:rsidRPr="00071669">
        <w:rPr>
          <w:rFonts w:ascii="Times New Roman" w:hAnsi="Times New Roman"/>
          <w:sz w:val="24"/>
          <w:szCs w:val="24"/>
        </w:rPr>
        <w:t xml:space="preserve">, Luță </w:t>
      </w:r>
      <w:r>
        <w:rPr>
          <w:rFonts w:ascii="Times New Roman" w:hAnsi="Times New Roman"/>
          <w:sz w:val="24"/>
          <w:szCs w:val="24"/>
        </w:rPr>
        <w:t>EA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>, Analiza farmacognostică a produselor vegetale cu metaboliți primari și secundari, vol. II, Editura Universitară ,,Carol Davila“, București, 2021</w:t>
      </w:r>
    </w:p>
    <w:sectPr w:rsidR="00D82178" w:rsidRPr="00FC7A28" w:rsidSect="00E00D59">
      <w:headerReference w:type="default" r:id="rId7"/>
      <w:footerReference w:type="default" r:id="rId8"/>
      <w:pgSz w:w="11906" w:h="16838"/>
      <w:pgMar w:top="851" w:right="566" w:bottom="851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2B85"/>
    <w:multiLevelType w:val="hybridMultilevel"/>
    <w:tmpl w:val="1A8A7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20C0D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F254A"/>
    <w:rsid w:val="002168B2"/>
    <w:rsid w:val="00236A38"/>
    <w:rsid w:val="00257831"/>
    <w:rsid w:val="00272F7E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5334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56FDC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1F4A"/>
    <w:rsid w:val="008D32BF"/>
    <w:rsid w:val="008D6D37"/>
    <w:rsid w:val="008F62DE"/>
    <w:rsid w:val="008F6B68"/>
    <w:rsid w:val="009123B7"/>
    <w:rsid w:val="00913E9B"/>
    <w:rsid w:val="0091799B"/>
    <w:rsid w:val="00934D68"/>
    <w:rsid w:val="00944520"/>
    <w:rsid w:val="009505D9"/>
    <w:rsid w:val="0095127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106C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D0D4F"/>
    <w:rsid w:val="00CD4E7B"/>
    <w:rsid w:val="00CD6653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20C3"/>
    <w:rsid w:val="00DB5467"/>
    <w:rsid w:val="00DB624C"/>
    <w:rsid w:val="00DB6AD4"/>
    <w:rsid w:val="00DC1A49"/>
    <w:rsid w:val="00DC2CDB"/>
    <w:rsid w:val="00DE7999"/>
    <w:rsid w:val="00E00D5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C7A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Nicoleta</cp:lastModifiedBy>
  <cp:revision>7</cp:revision>
  <cp:lastPrinted>2022-09-30T14:36:00Z</cp:lastPrinted>
  <dcterms:created xsi:type="dcterms:W3CDTF">2022-12-13T12:12:00Z</dcterms:created>
  <dcterms:modified xsi:type="dcterms:W3CDTF">2022-12-13T13:32:00Z</dcterms:modified>
</cp:coreProperties>
</file>