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08D7" w14:textId="38C512B6" w:rsidR="00284A74" w:rsidRDefault="00284A74" w:rsidP="00741418">
      <w:pPr>
        <w:spacing w:before="240"/>
      </w:pPr>
      <w:r>
        <w:t>PROBELE SCRISA SI DIDACTICA</w:t>
      </w:r>
    </w:p>
    <w:p w14:paraId="59E1CC03" w14:textId="09F83DE8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Refluxul gastroesofagian. Esofagita de reflux.</w:t>
      </w:r>
    </w:p>
    <w:p w14:paraId="465C79DD" w14:textId="4971AA37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Acalazia. Patologia esofagiana functionala.</w:t>
      </w:r>
    </w:p>
    <w:p w14:paraId="64BBE6E7" w14:textId="70E7807A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Neoplasmul esofagului.</w:t>
      </w:r>
    </w:p>
    <w:p w14:paraId="17962109" w14:textId="14E00F9D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Sindroame dispeptice functionale.</w:t>
      </w:r>
    </w:p>
    <w:p w14:paraId="757E0612" w14:textId="0B968C94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Gastritele cronice.</w:t>
      </w:r>
    </w:p>
    <w:p w14:paraId="7EBBDC64" w14:textId="3D9BBB2A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Ulcerul gastroduodenal.</w:t>
      </w:r>
    </w:p>
    <w:p w14:paraId="74152A56" w14:textId="4076EC26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Cancerul gastric.</w:t>
      </w:r>
    </w:p>
    <w:p w14:paraId="4C3C8BFA" w14:textId="664A9D49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Diareele cronice.</w:t>
      </w:r>
    </w:p>
    <w:p w14:paraId="49D2CBFD" w14:textId="1ED8D190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Enteropatiile disenzimatice si enteropatia glutenica.</w:t>
      </w:r>
    </w:p>
    <w:p w14:paraId="36E87E67" w14:textId="58785B65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Boala Crohn si rectocolita ulcerohemoragica.</w:t>
      </w:r>
    </w:p>
    <w:p w14:paraId="104618ED" w14:textId="3873031F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Sindromul de malabsorbtie.</w:t>
      </w:r>
    </w:p>
    <w:p w14:paraId="6C36F7F7" w14:textId="2D267A1C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Colonul iritabil. Constipatia cronica.</w:t>
      </w:r>
    </w:p>
    <w:p w14:paraId="13D39D98" w14:textId="24BCE736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Polipii colonici.</w:t>
      </w:r>
    </w:p>
    <w:p w14:paraId="38518232" w14:textId="6C67A8DA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Cancerul de colon.</w:t>
      </w:r>
    </w:p>
    <w:p w14:paraId="29FC97ED" w14:textId="59EEE1BA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Diverticuloza intestinala.</w:t>
      </w:r>
    </w:p>
    <w:p w14:paraId="40679A06" w14:textId="2C00C512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Pancreatite acute.</w:t>
      </w:r>
    </w:p>
    <w:p w14:paraId="618C9DA3" w14:textId="11CC55B0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Pancreatitele cronice.</w:t>
      </w:r>
    </w:p>
    <w:p w14:paraId="6A885EAA" w14:textId="3B7DD1AC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Cancerul pancreatic.</w:t>
      </w:r>
    </w:p>
    <w:p w14:paraId="0CA4818B" w14:textId="785BF019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Colecistitele si angiocolitele acute.</w:t>
      </w:r>
    </w:p>
    <w:p w14:paraId="1E0A668C" w14:textId="7E53AE6E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Litiaza biliara.</w:t>
      </w:r>
    </w:p>
    <w:p w14:paraId="544297BB" w14:textId="3B259CEE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Encefalopatia hepatica.</w:t>
      </w:r>
    </w:p>
    <w:p w14:paraId="06F1F7CF" w14:textId="0AAF78B8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Hepatitele cronice.</w:t>
      </w:r>
    </w:p>
    <w:p w14:paraId="0BBC7C38" w14:textId="26F35591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Cirozele ficatului si complicatiile sale.</w:t>
      </w:r>
    </w:p>
    <w:p w14:paraId="36CD5D18" w14:textId="0BA864A3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Patologia hepatica alcool-indusa.</w:t>
      </w:r>
    </w:p>
    <w:p w14:paraId="69EBA33D" w14:textId="0199449C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Cancerul hepatic.</w:t>
      </w:r>
    </w:p>
    <w:p w14:paraId="77316EFA" w14:textId="31EE9572" w:rsidR="00284A74" w:rsidRDefault="00284A74" w:rsidP="00741418">
      <w:pPr>
        <w:pStyle w:val="ListParagraph"/>
        <w:numPr>
          <w:ilvl w:val="0"/>
          <w:numId w:val="1"/>
        </w:numPr>
        <w:spacing w:before="240"/>
      </w:pPr>
      <w:r>
        <w:t>Hemoragiile digestive superioare si inferioare.</w:t>
      </w:r>
    </w:p>
    <w:p w14:paraId="28E7F86D" w14:textId="11AFBD7B" w:rsidR="00581A3C" w:rsidRDefault="00581A3C" w:rsidP="00581A3C">
      <w:pPr>
        <w:spacing w:before="240"/>
      </w:pPr>
    </w:p>
    <w:p w14:paraId="1E04C432" w14:textId="37E76198" w:rsidR="00581A3C" w:rsidRDefault="00581A3C" w:rsidP="00581A3C">
      <w:pPr>
        <w:spacing w:before="240"/>
      </w:pPr>
    </w:p>
    <w:p w14:paraId="003F427D" w14:textId="59280AA8" w:rsidR="008D20D1" w:rsidRDefault="00741418" w:rsidP="00741418">
      <w:pPr>
        <w:spacing w:before="240"/>
      </w:pPr>
      <w:r>
        <w:lastRenderedPageBreak/>
        <w:t>BIBLIOGRAFIE</w:t>
      </w:r>
    </w:p>
    <w:p w14:paraId="557EF079" w14:textId="77777777" w:rsidR="00B1003A" w:rsidRDefault="00B1003A" w:rsidP="00741418">
      <w:pPr>
        <w:spacing w:before="240"/>
      </w:pPr>
    </w:p>
    <w:p w14:paraId="790CE5CF" w14:textId="2FB4FB49" w:rsidR="00B1003A" w:rsidRDefault="00B1003A" w:rsidP="00741418">
      <w:pPr>
        <w:spacing w:before="240"/>
      </w:pPr>
      <w:r>
        <w:t xml:space="preserve">1. </w:t>
      </w:r>
      <w:r w:rsidRPr="00B1003A">
        <w:t>Anca Trifan, C. Gheorghe, D. Dumitrașcu, M. Diculescu, Liana Gheorghe, I. Sporea, M. Tanțău, T. Ciurea (SRGH). Gastroenterologie şi Hepatologie Clinică. Editura Medicală. Bucureşti 2018. ISBN 978-973-39-0846-3.</w:t>
      </w:r>
    </w:p>
    <w:p w14:paraId="702DC3B1" w14:textId="4DCB8DC6" w:rsidR="00741418" w:rsidRDefault="00B1003A" w:rsidP="00741418">
      <w:pPr>
        <w:spacing w:before="240"/>
      </w:pPr>
      <w:r>
        <w:t xml:space="preserve">2. </w:t>
      </w:r>
      <w:r w:rsidR="00741418">
        <w:t>Gabriel Constantinescu, Madalina Stan-Ilie, Ruxandra Oprita, Gastroenterologie ediția a 2-a revizuită și adăugită, Editura Niculescu, București, 2022, ISBN 978-606-38-0775-6.</w:t>
      </w:r>
    </w:p>
    <w:p w14:paraId="0E621E69" w14:textId="6C13E2AF" w:rsidR="00741418" w:rsidRDefault="00741418" w:rsidP="00741418">
      <w:pPr>
        <w:spacing w:before="240"/>
      </w:pPr>
    </w:p>
    <w:sectPr w:rsidR="00741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621D"/>
    <w:multiLevelType w:val="hybridMultilevel"/>
    <w:tmpl w:val="7B4C6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651D0"/>
    <w:multiLevelType w:val="hybridMultilevel"/>
    <w:tmpl w:val="3926B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D0"/>
    <w:rsid w:val="00284A74"/>
    <w:rsid w:val="00581A3C"/>
    <w:rsid w:val="006D6F53"/>
    <w:rsid w:val="00741418"/>
    <w:rsid w:val="008D20D1"/>
    <w:rsid w:val="00AA337A"/>
    <w:rsid w:val="00B1003A"/>
    <w:rsid w:val="00DA3782"/>
    <w:rsid w:val="00E52FC9"/>
    <w:rsid w:val="00E6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A569"/>
  <w15:chartTrackingRefBased/>
  <w15:docId w15:val="{F31EEF13-D592-4991-9C67-145D8190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F53"/>
    <w:pPr>
      <w:spacing w:line="360" w:lineRule="auto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6F5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D6F53"/>
    <w:pPr>
      <w:keepNext/>
      <w:keepLines/>
      <w:spacing w:after="0"/>
      <w:outlineLvl w:val="1"/>
    </w:pPr>
    <w:rPr>
      <w:rFonts w:eastAsiaTheme="majorEastAsia" w:cstheme="majorBidi"/>
      <w:b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D6F53"/>
    <w:pPr>
      <w:keepNext/>
      <w:keepLines/>
      <w:spacing w:before="160" w:after="120" w:line="240" w:lineRule="auto"/>
      <w:outlineLvl w:val="2"/>
    </w:pPr>
    <w:rPr>
      <w:rFonts w:eastAsiaTheme="majorEastAsia" w:cstheme="majorBid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F5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6F5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F53"/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4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Plotogea</dc:creator>
  <cp:keywords/>
  <dc:description/>
  <cp:lastModifiedBy>Edit</cp:lastModifiedBy>
  <cp:revision>3</cp:revision>
  <dcterms:created xsi:type="dcterms:W3CDTF">2023-01-12T06:01:00Z</dcterms:created>
  <dcterms:modified xsi:type="dcterms:W3CDTF">2023-01-13T11:40:00Z</dcterms:modified>
</cp:coreProperties>
</file>