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7C90" w14:textId="77777777" w:rsidR="00963DC6" w:rsidRPr="00273804" w:rsidRDefault="00963DC6" w:rsidP="00963DC6">
      <w:pPr>
        <w:spacing w:after="0" w:line="240" w:lineRule="auto"/>
        <w:rPr>
          <w:rFonts w:ascii="Times New Roman" w:hAnsi="Times New Roman"/>
          <w:sz w:val="20"/>
        </w:rPr>
      </w:pPr>
    </w:p>
    <w:p w14:paraId="66CD8BE0" w14:textId="54456D30" w:rsidR="00963DC6" w:rsidRPr="00272A80" w:rsidRDefault="006E533B" w:rsidP="00272A8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72A80">
        <w:rPr>
          <w:rFonts w:ascii="Times New Roman" w:hAnsi="Times New Roman"/>
          <w:b/>
          <w:bCs/>
          <w:sz w:val="24"/>
          <w:szCs w:val="24"/>
        </w:rPr>
        <w:t>Departamentul Farmacie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72A80">
        <w:rPr>
          <w:rFonts w:ascii="Times New Roman" w:hAnsi="Times New Roman"/>
          <w:b/>
          <w:bCs/>
          <w:sz w:val="24"/>
          <w:szCs w:val="24"/>
        </w:rPr>
        <w:t xml:space="preserve"> – Științe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Pr="00272A80">
        <w:rPr>
          <w:rFonts w:ascii="Times New Roman" w:hAnsi="Times New Roman"/>
          <w:b/>
          <w:bCs/>
          <w:sz w:val="24"/>
          <w:szCs w:val="24"/>
        </w:rPr>
        <w:t>e Profil (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Pr="00272A80">
        <w:rPr>
          <w:rFonts w:ascii="Times New Roman" w:hAnsi="Times New Roman"/>
          <w:b/>
          <w:bCs/>
          <w:sz w:val="24"/>
          <w:szCs w:val="24"/>
        </w:rPr>
        <w:t>e Specialitate)</w:t>
      </w:r>
    </w:p>
    <w:p w14:paraId="767BF60D" w14:textId="28CF4E0C" w:rsidR="00963DC6" w:rsidRPr="00272A80" w:rsidRDefault="006E533B" w:rsidP="00272A8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72A80">
        <w:rPr>
          <w:rFonts w:ascii="Times New Roman" w:hAnsi="Times New Roman"/>
          <w:b/>
          <w:bCs/>
          <w:sz w:val="24"/>
          <w:szCs w:val="24"/>
        </w:rPr>
        <w:t xml:space="preserve">Disciplina: Tehnologie Farmaceutică </w:t>
      </w:r>
      <w:r>
        <w:rPr>
          <w:rFonts w:ascii="Times New Roman" w:hAnsi="Times New Roman"/>
          <w:b/>
          <w:bCs/>
          <w:sz w:val="24"/>
          <w:szCs w:val="24"/>
        </w:rPr>
        <w:t>ș</w:t>
      </w:r>
      <w:r w:rsidRPr="00272A80">
        <w:rPr>
          <w:rFonts w:ascii="Times New Roman" w:hAnsi="Times New Roman"/>
          <w:b/>
          <w:bCs/>
          <w:sz w:val="24"/>
          <w:szCs w:val="24"/>
        </w:rPr>
        <w:t>i Biofarmacie</w:t>
      </w:r>
    </w:p>
    <w:p w14:paraId="0C9B3D39" w14:textId="77777777" w:rsidR="00963DC6" w:rsidRPr="00967D0D" w:rsidRDefault="00963DC6" w:rsidP="00963DC6">
      <w:pPr>
        <w:spacing w:after="0" w:line="240" w:lineRule="auto"/>
        <w:rPr>
          <w:rFonts w:ascii="Times New Roman" w:hAnsi="Times New Roman"/>
          <w:sz w:val="20"/>
          <w:szCs w:val="28"/>
          <w:lang w:val="fr-FR"/>
        </w:rPr>
      </w:pPr>
    </w:p>
    <w:p w14:paraId="083DA995" w14:textId="10BA773F" w:rsidR="00272A80" w:rsidRPr="001A4596" w:rsidRDefault="00272A80" w:rsidP="00272A80">
      <w:pPr>
        <w:tabs>
          <w:tab w:val="left" w:pos="1605"/>
        </w:tabs>
        <w:jc w:val="center"/>
        <w:rPr>
          <w:rFonts w:ascii="Times New Roman" w:hAnsi="Times New Roman"/>
          <w:b/>
          <w:sz w:val="24"/>
          <w:szCs w:val="24"/>
        </w:rPr>
      </w:pPr>
      <w:r w:rsidRPr="001A4596">
        <w:rPr>
          <w:rFonts w:ascii="Times New Roman" w:hAnsi="Times New Roman"/>
          <w:b/>
          <w:sz w:val="24"/>
          <w:szCs w:val="24"/>
        </w:rPr>
        <w:t>TEMATIC</w:t>
      </w:r>
      <w:r>
        <w:rPr>
          <w:rFonts w:ascii="Times New Roman" w:hAnsi="Times New Roman"/>
          <w:b/>
          <w:sz w:val="24"/>
          <w:szCs w:val="24"/>
        </w:rPr>
        <w:t>A</w:t>
      </w:r>
      <w:r w:rsidRPr="001A4596">
        <w:rPr>
          <w:rFonts w:ascii="Times New Roman" w:hAnsi="Times New Roman"/>
          <w:b/>
          <w:sz w:val="24"/>
          <w:szCs w:val="24"/>
        </w:rPr>
        <w:t xml:space="preserve"> ȘI BIBLIOGRAFI</w:t>
      </w:r>
      <w:r>
        <w:rPr>
          <w:rFonts w:ascii="Times New Roman" w:hAnsi="Times New Roman"/>
          <w:b/>
          <w:sz w:val="24"/>
          <w:szCs w:val="24"/>
        </w:rPr>
        <w:t>A</w:t>
      </w:r>
      <w:r w:rsidRPr="001A4596">
        <w:rPr>
          <w:rFonts w:ascii="Times New Roman" w:hAnsi="Times New Roman"/>
          <w:b/>
          <w:sz w:val="24"/>
          <w:szCs w:val="24"/>
        </w:rPr>
        <w:t xml:space="preserve"> PENTRU CONCURSUL DE </w:t>
      </w:r>
      <w:r>
        <w:rPr>
          <w:rFonts w:ascii="Times New Roman" w:hAnsi="Times New Roman"/>
          <w:b/>
          <w:sz w:val="24"/>
          <w:szCs w:val="24"/>
        </w:rPr>
        <w:t>PROFESOR UNIVERSITAR</w:t>
      </w:r>
    </w:p>
    <w:p w14:paraId="659B3005" w14:textId="77777777" w:rsidR="00963DC6" w:rsidRPr="00967D0D" w:rsidRDefault="00963DC6" w:rsidP="00963DC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0D8E16C5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Prepararea şi eliberarea medicamentelor în farmacie.</w:t>
      </w:r>
    </w:p>
    <w:p w14:paraId="1F0C4D13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Cercetarea, dezvoltarea şi fabricaţia medicamentelor  în industrie.</w:t>
      </w:r>
    </w:p>
    <w:p w14:paraId="35F58CA6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Compatibilitatea, s</w:t>
      </w:r>
      <w:r w:rsidRPr="00967D0D">
        <w:rPr>
          <w:rFonts w:ascii="Times New Roman" w:hAnsi="Times New Roman"/>
          <w:sz w:val="24"/>
          <w:szCs w:val="28"/>
        </w:rPr>
        <w:t>tabilitatea şi conservarea medicamentelor.</w:t>
      </w:r>
    </w:p>
    <w:p w14:paraId="28217F5E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Asigurarea calităţii medicamentelor.</w:t>
      </w:r>
    </w:p>
    <w:p w14:paraId="2820026E" w14:textId="77777777" w:rsidR="00963DC6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Biodisponibilitatea şi bioechivalenţa medicamentelor.</w:t>
      </w:r>
    </w:p>
    <w:p w14:paraId="6F0A0229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Studiul cedării substanțelor medicamentoase din formele farmaceutice. Corelații in vitro/in vivo.</w:t>
      </w:r>
    </w:p>
    <w:p w14:paraId="6E01D4AE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Forme farmaceutice lichide pentru administrare orală. Formulare, preparare, condiţii de calitate.</w:t>
      </w:r>
    </w:p>
    <w:p w14:paraId="574905BB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Forme farmaceutice administrate pe mucoasa auriculară, nazală şi bucofaringiană. Formulare, preparare, condiţii de calitate.</w:t>
      </w:r>
    </w:p>
    <w:p w14:paraId="276DADC7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Preparate obţinute prin extracţie. Factori care influenţează extracţia din produse vegetale. Metode de extracție.</w:t>
      </w:r>
    </w:p>
    <w:p w14:paraId="35B072C7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Forme farmaceutice injectabile. Asigurarea izotoniei, izohidriei, sterilităţii.</w:t>
      </w:r>
      <w:r>
        <w:rPr>
          <w:rFonts w:ascii="Times New Roman" w:hAnsi="Times New Roman"/>
          <w:sz w:val="24"/>
          <w:szCs w:val="28"/>
        </w:rPr>
        <w:t xml:space="preserve"> Condiții de calitate.</w:t>
      </w:r>
    </w:p>
    <w:p w14:paraId="4D2FFAB5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Forme farmace</w:t>
      </w:r>
      <w:r>
        <w:rPr>
          <w:rFonts w:ascii="Times New Roman" w:hAnsi="Times New Roman"/>
          <w:sz w:val="24"/>
          <w:szCs w:val="28"/>
        </w:rPr>
        <w:t xml:space="preserve">utice perfuzabile. Clasificare, formulare, tehnologi de fabricație. </w:t>
      </w:r>
      <w:r w:rsidRPr="00967D0D">
        <w:rPr>
          <w:rFonts w:ascii="Times New Roman" w:hAnsi="Times New Roman"/>
          <w:sz w:val="24"/>
          <w:szCs w:val="28"/>
        </w:rPr>
        <w:t>Condiţii de calitate.</w:t>
      </w:r>
    </w:p>
    <w:p w14:paraId="44B1D75B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Imunos</w:t>
      </w:r>
      <w:r w:rsidRPr="00967D0D">
        <w:rPr>
          <w:rFonts w:ascii="Times New Roman" w:hAnsi="Times New Roman"/>
          <w:sz w:val="24"/>
          <w:szCs w:val="28"/>
        </w:rPr>
        <w:t>eruri. Vaccinuri.</w:t>
      </w:r>
    </w:p>
    <w:p w14:paraId="759FA395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Forme farm</w:t>
      </w:r>
      <w:r>
        <w:rPr>
          <w:rFonts w:ascii="Times New Roman" w:hAnsi="Times New Roman"/>
          <w:sz w:val="24"/>
          <w:szCs w:val="28"/>
        </w:rPr>
        <w:t>aceutice oftalmice. Clasificare, formulare, tehnologia de fabricație.</w:t>
      </w:r>
      <w:r w:rsidRPr="00967D0D">
        <w:rPr>
          <w:rFonts w:ascii="Times New Roman" w:hAnsi="Times New Roman"/>
          <w:sz w:val="24"/>
          <w:szCs w:val="28"/>
        </w:rPr>
        <w:t xml:space="preserve"> Condiţii de calitate.</w:t>
      </w:r>
      <w:r>
        <w:rPr>
          <w:rFonts w:ascii="Times New Roman" w:hAnsi="Times New Roman"/>
          <w:sz w:val="24"/>
          <w:szCs w:val="28"/>
        </w:rPr>
        <w:t xml:space="preserve"> Biofarmacie. Biodisponibilitate.</w:t>
      </w:r>
    </w:p>
    <w:p w14:paraId="0853900E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Preparate de inhalat. Formularea şi tehnologia de preparare.</w:t>
      </w:r>
    </w:p>
    <w:p w14:paraId="08CA258F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Preparate farmaceutice presurizate. Formularea şi tehnologia de preparare.</w:t>
      </w:r>
    </w:p>
    <w:p w14:paraId="4E0F8277" w14:textId="77777777" w:rsidR="00963DC6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Emulsii. Formare şi stabilizare. Tipuri de emulgatori. Prepararea emulsiilor.</w:t>
      </w:r>
      <w:r>
        <w:rPr>
          <w:rFonts w:ascii="Times New Roman" w:hAnsi="Times New Roman"/>
          <w:sz w:val="24"/>
          <w:szCs w:val="28"/>
        </w:rPr>
        <w:t xml:space="preserve"> Condiții de calitate.</w:t>
      </w:r>
    </w:p>
    <w:p w14:paraId="440CECD1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Emulsii multiple. Emulsii structurate. Microemulsii.</w:t>
      </w:r>
    </w:p>
    <w:p w14:paraId="3EE5E2BF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Formularea suspensiilor. Factori care influenţează stabilitatea. Suspensii floculate şi defloculate.</w:t>
      </w:r>
      <w:r>
        <w:rPr>
          <w:rFonts w:ascii="Times New Roman" w:hAnsi="Times New Roman"/>
          <w:sz w:val="24"/>
          <w:szCs w:val="28"/>
        </w:rPr>
        <w:t xml:space="preserve"> Condiții de calitate a suspensiilor.</w:t>
      </w:r>
    </w:p>
    <w:p w14:paraId="1438848B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Forme farmaceutice semisolide pentru aplicații cutanate.</w:t>
      </w:r>
      <w:r w:rsidRPr="00967D0D">
        <w:rPr>
          <w:rFonts w:ascii="Times New Roman" w:hAnsi="Times New Roman"/>
          <w:sz w:val="24"/>
          <w:szCs w:val="28"/>
        </w:rPr>
        <w:t xml:space="preserve"> Formulare şi condiţii de calitate.</w:t>
      </w:r>
    </w:p>
    <w:p w14:paraId="57418317" w14:textId="77777777" w:rsidR="00963DC6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lastRenderedPageBreak/>
        <w:t xml:space="preserve"> Penetraţia şi absorbţia transcutanată.</w:t>
      </w:r>
    </w:p>
    <w:p w14:paraId="074EE4D9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Forme farmaceutice bioadezive dermice</w:t>
      </w:r>
    </w:p>
    <w:p w14:paraId="78AE03FD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Sisteme terapeutice transdermice.</w:t>
      </w:r>
    </w:p>
    <w:p w14:paraId="46DBF2BA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7D0D">
        <w:rPr>
          <w:rFonts w:ascii="Times New Roman" w:hAnsi="Times New Roman"/>
          <w:sz w:val="24"/>
          <w:szCs w:val="28"/>
        </w:rPr>
        <w:t>Preparate vaginale şi rectale. Substanţe active şi excipienţi utilizaţi în formulare. Metode de preparare. Controlul calității.</w:t>
      </w:r>
    </w:p>
    <w:p w14:paraId="7EFBA01C" w14:textId="77777777" w:rsidR="00963DC6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Biodisponibilitatea substanţelor medicamentoase administrate pe cale rectală.</w:t>
      </w:r>
    </w:p>
    <w:p w14:paraId="163A4A82" w14:textId="77777777" w:rsidR="00963DC6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Forme farmaceutice bucofaringiene (oromucozale).</w:t>
      </w:r>
    </w:p>
    <w:p w14:paraId="55492C46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Formularea, caracterele și controlul calității pulberilor farmaceutice.</w:t>
      </w:r>
    </w:p>
    <w:p w14:paraId="73346B78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Pulberi pentru administrare orală și pentru aplicare topică.</w:t>
      </w:r>
    </w:p>
    <w:p w14:paraId="3D0BC5F7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Capsule gelatinoase tari. Formularea conţinutului. Tehnologia de umplere a capsulelor.</w:t>
      </w:r>
    </w:p>
    <w:p w14:paraId="07B679D0" w14:textId="77777777" w:rsidR="00963DC6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Capsule gelatinoase moi. Formulare şi tehnologii de obţinere.</w:t>
      </w:r>
    </w:p>
    <w:p w14:paraId="7E6BD54F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Formularea, tehnologia de fabricație și controlul calității peletelor.</w:t>
      </w:r>
    </w:p>
    <w:p w14:paraId="09E3331C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Formularea comprimatelor. Tipurile de excipienţi şi rolul lor în formulare.</w:t>
      </w:r>
    </w:p>
    <w:p w14:paraId="6C2C72F0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Tehnologia de fabricaţie a comprimatelor.</w:t>
      </w:r>
    </w:p>
    <w:p w14:paraId="0042631E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Controlul calității comprimatelor.</w:t>
      </w:r>
    </w:p>
    <w:p w14:paraId="0DE1282E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Influenţa formulării şi a tehnologiei de obţinere asupra biodisponibilităţii substanţelor medicamentoase din comprimatele orale.</w:t>
      </w:r>
    </w:p>
    <w:p w14:paraId="11CF1B9F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Comprimate acoperite cu zahăr. Fazele drajefierii.</w:t>
      </w:r>
    </w:p>
    <w:p w14:paraId="5163595D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Comprimate acoperite cu film. Materiale filmogene – caracteristici, exemple.</w:t>
      </w:r>
    </w:p>
    <w:p w14:paraId="6B68366E" w14:textId="77777777" w:rsidR="00963DC6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Comprimate cu eliberare întârziată şi prelungită. Modalităţi de realizare a eliberării modificate.</w:t>
      </w:r>
    </w:p>
    <w:p w14:paraId="17FD10BA" w14:textId="77777777" w:rsidR="00963DC6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Forme farmaceutice cu eliberare accelerată.</w:t>
      </w:r>
    </w:p>
    <w:p w14:paraId="62775F4C" w14:textId="77777777" w:rsidR="00963DC6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Sisteme cu eliberare controlată și sisteme cu eliberare la țintă a substanțelor medicamentoase</w:t>
      </w:r>
    </w:p>
    <w:p w14:paraId="188FDB80" w14:textId="77777777" w:rsidR="00963DC6" w:rsidRPr="00967D0D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Forme farmaceutice microîncapsulate și nanoîncapsulate.</w:t>
      </w:r>
    </w:p>
    <w:p w14:paraId="61E47EC3" w14:textId="77777777" w:rsidR="00963DC6" w:rsidRDefault="00963DC6" w:rsidP="00963D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Calcule farmaceutice.</w:t>
      </w:r>
    </w:p>
    <w:p w14:paraId="15DFE0B3" w14:textId="77777777" w:rsidR="00963DC6" w:rsidRPr="001D7497" w:rsidRDefault="00963DC6" w:rsidP="00963DC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8"/>
        </w:rPr>
      </w:pPr>
    </w:p>
    <w:p w14:paraId="48BBEF0B" w14:textId="77777777" w:rsidR="00963DC6" w:rsidRPr="00967D0D" w:rsidRDefault="00963DC6" w:rsidP="00272A80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967D0D">
        <w:rPr>
          <w:rFonts w:ascii="Times New Roman" w:hAnsi="Times New Roman"/>
          <w:b/>
          <w:sz w:val="24"/>
          <w:szCs w:val="28"/>
        </w:rPr>
        <w:t>BIBLIOGRAFIE:</w:t>
      </w:r>
    </w:p>
    <w:p w14:paraId="6CCE65CA" w14:textId="77777777" w:rsidR="00963DC6" w:rsidRPr="00967D0D" w:rsidRDefault="00963DC6" w:rsidP="00963DC6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8"/>
          <w:lang w:val="it-IT"/>
        </w:rPr>
      </w:pPr>
      <w:r w:rsidRPr="00967D0D">
        <w:rPr>
          <w:rFonts w:ascii="Times New Roman" w:hAnsi="Times New Roman"/>
          <w:sz w:val="24"/>
          <w:szCs w:val="28"/>
          <w:lang w:val="it-IT"/>
        </w:rPr>
        <w:t>Tehnologie Farmaceutic</w:t>
      </w:r>
      <w:r w:rsidRPr="00967D0D">
        <w:rPr>
          <w:rFonts w:ascii="Times New Roman" w:hAnsi="Times New Roman"/>
          <w:sz w:val="24"/>
          <w:szCs w:val="28"/>
        </w:rPr>
        <w:t>ă I, Noțiuni fundamentale; Soluții medicamentoase nesterile – Note de curs, Ani Simona Sevastre, Georgiana Nițulescu, Dumitru Lupuliasa, Colecția Pharmakon, nr. 71, Editura Sitech, Craiova, 2019, ISBN 978-606-11-6789-0, 301 pg</w:t>
      </w:r>
    </w:p>
    <w:p w14:paraId="4523ECB2" w14:textId="77777777" w:rsidR="00963DC6" w:rsidRPr="00967D0D" w:rsidRDefault="00963DC6" w:rsidP="00963D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Iuliana Popovici, Dumitru Lupuleasa – Tehnologie Farmaceutică, vol. 1, ediţia a IV-a, 2017, Ed. Polirom, Iasi</w:t>
      </w:r>
    </w:p>
    <w:p w14:paraId="0E3C3B50" w14:textId="77777777" w:rsidR="00963DC6" w:rsidRPr="00967D0D" w:rsidRDefault="00963DC6" w:rsidP="00963D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Iuliana Popovici, Dumitru Lupuleasa – Tehnologie Farmaceutică, vol. 2, ed. a II-a, 2017, Ed. Polirom</w:t>
      </w:r>
    </w:p>
    <w:p w14:paraId="37BC2CF4" w14:textId="77777777" w:rsidR="00963DC6" w:rsidRPr="00967D0D" w:rsidRDefault="00963DC6" w:rsidP="00963D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Iuliana Popovici, Dumitru Lupuleasa – Tehnologie Farmaceutică, vol. 3, , ed. a II-a, 2017, Ed. Polirom</w:t>
      </w:r>
    </w:p>
    <w:p w14:paraId="49154BA8" w14:textId="77777777" w:rsidR="00963DC6" w:rsidRPr="00967D0D" w:rsidRDefault="00963DC6" w:rsidP="00963D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lastRenderedPageBreak/>
        <w:t>M. Hîrjău, D. Lupuleasa – Preparate parenterale, 2014, Ed. Printech</w:t>
      </w:r>
    </w:p>
    <w:p w14:paraId="51043CA7" w14:textId="77777777" w:rsidR="00963DC6" w:rsidRPr="00967D0D" w:rsidRDefault="00963DC6" w:rsidP="00963D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Ana Maria Dumitrescu, D. Lupuleasa, Victoria Hîrjau – Curs de Tehnologie Farmaceutică, vol. 1, 1995, Ed. Tehnoplast</w:t>
      </w:r>
    </w:p>
    <w:p w14:paraId="2A97BD98" w14:textId="77777777" w:rsidR="00963DC6" w:rsidRPr="00967D0D" w:rsidRDefault="00963DC6" w:rsidP="00963D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G. Șaramet, D. Lupuleasa – Forme farmaceutice solide, 2013, Ed. Printech</w:t>
      </w:r>
    </w:p>
    <w:p w14:paraId="1A512B6A" w14:textId="77777777" w:rsidR="00963DC6" w:rsidRPr="00967D0D" w:rsidRDefault="00963DC6" w:rsidP="00963D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Victoria Hîrjau – Forme farmaceutice cu eliberare modificată, 2003, Ed. Universităţii din Oradea</w:t>
      </w:r>
    </w:p>
    <w:p w14:paraId="36FB4804" w14:textId="77777777" w:rsidR="00963DC6" w:rsidRPr="00967D0D" w:rsidRDefault="00963DC6" w:rsidP="00963D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>Lavinia Vlaia, D. Lupuleasa – Dispersii coloidale. Emulsii. Suspensii, 2009, Ed. Mirton, Timişoara</w:t>
      </w:r>
    </w:p>
    <w:p w14:paraId="6106985E" w14:textId="77777777" w:rsidR="00963DC6" w:rsidRPr="00967D0D" w:rsidRDefault="00963DC6" w:rsidP="00963D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xxx Farmacopeea Română, Ed. a X-a, Ed. Medicală, Bucureşti, 2000</w:t>
      </w:r>
    </w:p>
    <w:p w14:paraId="551042F6" w14:textId="77777777" w:rsidR="00963DC6" w:rsidRPr="00967D0D" w:rsidRDefault="00963DC6" w:rsidP="00963D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D76BC">
        <w:rPr>
          <w:rFonts w:ascii="Times New Roman" w:hAnsi="Times New Roman"/>
          <w:sz w:val="28"/>
          <w:szCs w:val="28"/>
        </w:rPr>
        <w:t xml:space="preserve"> </w:t>
      </w:r>
      <w:r w:rsidRPr="00967D0D">
        <w:rPr>
          <w:rFonts w:ascii="Times New Roman" w:hAnsi="Times New Roman"/>
          <w:sz w:val="24"/>
          <w:szCs w:val="28"/>
        </w:rPr>
        <w:t>xxx Farmacopeea Română, Ediţia a X-a, Supliment 2001, Ed. Medicală Bucureşti, 2002, Supliment 2004</w:t>
      </w:r>
    </w:p>
    <w:p w14:paraId="6BE5B806" w14:textId="77777777" w:rsidR="00963DC6" w:rsidRPr="00392F9A" w:rsidRDefault="00963DC6" w:rsidP="00963D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67D0D">
        <w:rPr>
          <w:rFonts w:ascii="Times New Roman" w:hAnsi="Times New Roman"/>
          <w:sz w:val="24"/>
          <w:szCs w:val="28"/>
        </w:rPr>
        <w:t xml:space="preserve"> xxx F</w:t>
      </w:r>
      <w:r>
        <w:rPr>
          <w:rFonts w:ascii="Times New Roman" w:hAnsi="Times New Roman"/>
          <w:sz w:val="24"/>
          <w:szCs w:val="28"/>
        </w:rPr>
        <w:t>armacopeea Europeană, Ediţia a 10</w:t>
      </w:r>
      <w:r w:rsidRPr="00967D0D">
        <w:rPr>
          <w:rFonts w:ascii="Times New Roman" w:hAnsi="Times New Roman"/>
          <w:sz w:val="24"/>
          <w:szCs w:val="28"/>
        </w:rPr>
        <w:t>-a, Monografii farmacotehnice</w:t>
      </w:r>
    </w:p>
    <w:p w14:paraId="470C12E2" w14:textId="77777777" w:rsidR="00285A80" w:rsidRDefault="00285A80"/>
    <w:sectPr w:rsidR="00285A80" w:rsidSect="003736FA">
      <w:headerReference w:type="default" r:id="rId7"/>
      <w:footerReference w:type="default" r:id="rId8"/>
      <w:pgSz w:w="11906" w:h="16838"/>
      <w:pgMar w:top="851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B4DB" w14:textId="77777777" w:rsidR="00480DA5" w:rsidRDefault="00480DA5">
      <w:pPr>
        <w:spacing w:after="0" w:line="240" w:lineRule="auto"/>
      </w:pPr>
      <w:r>
        <w:separator/>
      </w:r>
    </w:p>
  </w:endnote>
  <w:endnote w:type="continuationSeparator" w:id="0">
    <w:p w14:paraId="76371BA2" w14:textId="77777777" w:rsidR="00480DA5" w:rsidRDefault="0048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7BF6" w14:textId="77777777" w:rsidR="00C2398B" w:rsidRPr="0082408C" w:rsidRDefault="008039C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s</w:t>
    </w:r>
    <w:r>
      <w:rPr>
        <w:rFonts w:ascii="Times New Roman" w:eastAsia="Times New Roman" w:hAnsi="Times New Roman"/>
        <w:i/>
        <w:sz w:val="18"/>
        <w:szCs w:val="18"/>
      </w:rPr>
      <w:t>tr. Dionisie Lupu 37</w:t>
    </w:r>
    <w:r w:rsidRPr="0082408C">
      <w:rPr>
        <w:rFonts w:ascii="Times New Roman" w:eastAsia="Times New Roman" w:hAnsi="Times New Roman"/>
        <w:i/>
        <w:sz w:val="18"/>
        <w:szCs w:val="18"/>
      </w:rPr>
      <w:t>,</w:t>
    </w:r>
    <w:r>
      <w:rPr>
        <w:rFonts w:ascii="Times New Roman" w:eastAsia="Times New Roman" w:hAnsi="Times New Roman"/>
        <w:i/>
        <w:sz w:val="18"/>
        <w:szCs w:val="18"/>
      </w:rPr>
      <w:t xml:space="preserve"> </w:t>
    </w:r>
    <w:r w:rsidRPr="0082408C">
      <w:rPr>
        <w:rFonts w:ascii="Times New Roman" w:eastAsia="Times New Roman" w:hAnsi="Times New Roman"/>
        <w:i/>
        <w:sz w:val="18"/>
        <w:szCs w:val="18"/>
      </w:rPr>
      <w:t>sector 2</w:t>
    </w:r>
    <w:r>
      <w:rPr>
        <w:rFonts w:ascii="Times New Roman" w:eastAsia="Times New Roman" w:hAnsi="Times New Roman"/>
        <w:i/>
        <w:sz w:val="18"/>
        <w:szCs w:val="18"/>
      </w:rPr>
      <w:t>, București,</w:t>
    </w:r>
    <w:r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Pr="0082408C">
      <w:rPr>
        <w:rFonts w:ascii="Times New Roman" w:hAnsi="Times New Roman"/>
        <w:i/>
        <w:sz w:val="18"/>
        <w:szCs w:val="18"/>
      </w:rPr>
      <w:t xml:space="preserve"> </w:t>
    </w:r>
  </w:p>
  <w:p w14:paraId="23B94670" w14:textId="77777777" w:rsidR="00C2398B" w:rsidRPr="0082408C" w:rsidRDefault="008039C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Pr="0082408C">
      <w:rPr>
        <w:rFonts w:ascii="Times New Roman" w:hAnsi="Times New Roman"/>
        <w:i/>
        <w:sz w:val="18"/>
        <w:szCs w:val="18"/>
      </w:rPr>
      <w:t xml:space="preserve">od fiscal: 4192910, </w:t>
    </w:r>
    <w:r>
      <w:rPr>
        <w:rFonts w:ascii="Times New Roman" w:hAnsi="Times New Roman"/>
        <w:i/>
        <w:sz w:val="18"/>
        <w:szCs w:val="18"/>
      </w:rPr>
      <w:t>c</w:t>
    </w:r>
    <w:r w:rsidRPr="0082408C">
      <w:rPr>
        <w:rFonts w:ascii="Times New Roman" w:hAnsi="Times New Roman"/>
        <w:i/>
        <w:sz w:val="18"/>
        <w:szCs w:val="18"/>
      </w:rPr>
      <w:t>ont: RO57TREZ70220F330500XXXX</w:t>
    </w:r>
    <w:r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Pr="0082408C">
      <w:rPr>
        <w:rFonts w:ascii="Times New Roman" w:hAnsi="Times New Roman"/>
        <w:i/>
        <w:sz w:val="18"/>
        <w:szCs w:val="18"/>
      </w:rPr>
      <w:t xml:space="preserve"> 2</w:t>
    </w:r>
  </w:p>
  <w:p w14:paraId="15D007C3" w14:textId="77777777" w:rsidR="00C2398B" w:rsidRPr="0082408C" w:rsidRDefault="008039C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1BB3" w14:textId="77777777" w:rsidR="00480DA5" w:rsidRDefault="00480DA5">
      <w:pPr>
        <w:spacing w:after="0" w:line="240" w:lineRule="auto"/>
      </w:pPr>
      <w:r>
        <w:separator/>
      </w:r>
    </w:p>
  </w:footnote>
  <w:footnote w:type="continuationSeparator" w:id="0">
    <w:p w14:paraId="268EC544" w14:textId="77777777" w:rsidR="00480DA5" w:rsidRDefault="0048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A428" w14:textId="77777777" w:rsidR="00C2398B" w:rsidRPr="00D52814" w:rsidRDefault="008039C2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3EFCCAA" wp14:editId="418B5E83">
          <wp:extent cx="6119495" cy="9639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_farmacie_disci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8B9"/>
    <w:multiLevelType w:val="hybridMultilevel"/>
    <w:tmpl w:val="68504DBC"/>
    <w:lvl w:ilvl="0" w:tplc="BA5A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919A6"/>
    <w:multiLevelType w:val="hybridMultilevel"/>
    <w:tmpl w:val="0734A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C6"/>
    <w:rsid w:val="00272A80"/>
    <w:rsid w:val="00285A80"/>
    <w:rsid w:val="003736FA"/>
    <w:rsid w:val="00445503"/>
    <w:rsid w:val="00480DA5"/>
    <w:rsid w:val="006E533B"/>
    <w:rsid w:val="008039C2"/>
    <w:rsid w:val="00963DC6"/>
    <w:rsid w:val="00AA7C64"/>
    <w:rsid w:val="00C2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118A"/>
  <w15:chartTrackingRefBased/>
  <w15:docId w15:val="{B3E4E04F-DAF8-4564-B3FC-4B151415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DC6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C6"/>
    <w:rPr>
      <w:rFonts w:ascii="Calibri" w:eastAsia="Calibri" w:hAnsi="Calibri" w:cs="Times New Roman"/>
      <w:kern w:val="0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C6"/>
    <w:rPr>
      <w:rFonts w:ascii="Calibri" w:eastAsia="Calibri" w:hAnsi="Calibri" w:cs="Times New Roman"/>
      <w:kern w:val="0"/>
      <w:lang w:val="ro-RO"/>
      <w14:ligatures w14:val="none"/>
    </w:rPr>
  </w:style>
  <w:style w:type="character" w:customStyle="1" w:styleId="apple-converted-space">
    <w:name w:val="apple-converted-space"/>
    <w:rsid w:val="0096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gsaramet gsaramet</dc:creator>
  <cp:keywords/>
  <dc:description/>
  <cp:lastModifiedBy>USER</cp:lastModifiedBy>
  <cp:revision>4</cp:revision>
  <dcterms:created xsi:type="dcterms:W3CDTF">2024-02-05T13:44:00Z</dcterms:created>
  <dcterms:modified xsi:type="dcterms:W3CDTF">2024-02-05T13:54:00Z</dcterms:modified>
</cp:coreProperties>
</file>