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0736" w14:textId="77777777" w:rsidR="003B78A7" w:rsidRDefault="00763356">
      <w:pPr>
        <w:pStyle w:val="Header"/>
        <w:tabs>
          <w:tab w:val="clear" w:pos="9072"/>
          <w:tab w:val="right" w:pos="9000"/>
        </w:tabs>
        <w:rPr>
          <w:rFonts w:ascii="Palatino Linotype" w:eastAsia="Palatino Linotype" w:hAnsi="Palatino Linotype" w:cs="Palatino Linotype"/>
          <w:b/>
          <w:bCs/>
          <w:i/>
          <w:iCs/>
          <w:color w:val="002060"/>
          <w:sz w:val="28"/>
          <w:szCs w:val="28"/>
          <w:u w:color="002060"/>
        </w:rPr>
      </w:pPr>
      <w:r>
        <w:rPr>
          <w:noProof/>
          <w:color w:val="002060"/>
          <w:sz w:val="28"/>
          <w:szCs w:val="28"/>
          <w:u w:color="002060"/>
        </w:rPr>
        <w:drawing>
          <wp:anchor distT="57150" distB="57150" distL="57150" distR="57150" simplePos="0" relativeHeight="251659264" behindDoc="0" locked="0" layoutInCell="1" allowOverlap="1" wp14:anchorId="43E05AB8" wp14:editId="1105256E">
            <wp:simplePos x="0" y="0"/>
            <wp:positionH relativeFrom="column">
              <wp:posOffset>0</wp:posOffset>
            </wp:positionH>
            <wp:positionV relativeFrom="line">
              <wp:posOffset>435</wp:posOffset>
            </wp:positionV>
            <wp:extent cx="895350" cy="8953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MF-Carol-Davil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MF-Carol-Davila_logo.jpg" descr="UMF-Carol-Davila_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28"/>
          <w:szCs w:val="28"/>
          <w:u w:color="002060"/>
        </w:rPr>
        <w:drawing>
          <wp:anchor distT="57150" distB="57150" distL="57150" distR="57150" simplePos="0" relativeHeight="251660288" behindDoc="0" locked="0" layoutInCell="1" allowOverlap="1" wp14:anchorId="0D79A59C" wp14:editId="0ED31170">
            <wp:simplePos x="0" y="0"/>
            <wp:positionH relativeFrom="margin">
              <wp:posOffset>5215395</wp:posOffset>
            </wp:positionH>
            <wp:positionV relativeFrom="page">
              <wp:posOffset>592972</wp:posOffset>
            </wp:positionV>
            <wp:extent cx="619125" cy="826126"/>
            <wp:effectExtent l="0" t="0" r="0" b="0"/>
            <wp:wrapSquare wrapText="bothSides" distT="57150" distB="57150" distL="57150" distR="57150"/>
            <wp:docPr id="1073741826" name="officeArt object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textDescription automatically generated" descr="A picture containing text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rcRect b="772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26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3C6A9F" w14:textId="77777777" w:rsidR="003B78A7" w:rsidRDefault="00763356">
      <w:pPr>
        <w:pStyle w:val="Header"/>
        <w:tabs>
          <w:tab w:val="clear" w:pos="9072"/>
          <w:tab w:val="right" w:pos="9000"/>
        </w:tabs>
        <w:jc w:val="center"/>
        <w:rPr>
          <w:rFonts w:ascii="Palatino Linotype" w:eastAsia="Palatino Linotype" w:hAnsi="Palatino Linotype" w:cs="Palatino Linotype"/>
          <w:b/>
          <w:bCs/>
          <w:i/>
          <w:iCs/>
          <w:color w:val="002060"/>
          <w:sz w:val="28"/>
          <w:szCs w:val="28"/>
          <w:u w:color="00206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color w:val="002060"/>
          <w:sz w:val="28"/>
          <w:szCs w:val="28"/>
          <w:u w:color="002060"/>
        </w:rPr>
        <w:t>UNIVERSITATEA DE MEDICIN</w:t>
      </w:r>
      <w:r>
        <w:rPr>
          <w:rFonts w:ascii="Palatino Linotype" w:eastAsia="Palatino Linotype" w:hAnsi="Palatino Linotype" w:cs="Palatino Linotype"/>
          <w:b/>
          <w:bCs/>
          <w:i/>
          <w:iCs/>
          <w:color w:val="002060"/>
          <w:sz w:val="28"/>
          <w:szCs w:val="28"/>
          <w:u w:color="002060"/>
        </w:rPr>
        <w:t>Ă Ș</w:t>
      </w:r>
      <w:r>
        <w:rPr>
          <w:rFonts w:ascii="Palatino Linotype" w:eastAsia="Palatino Linotype" w:hAnsi="Palatino Linotype" w:cs="Palatino Linotype"/>
          <w:b/>
          <w:bCs/>
          <w:i/>
          <w:iCs/>
          <w:color w:val="002060"/>
          <w:sz w:val="28"/>
          <w:szCs w:val="28"/>
          <w:u w:color="002060"/>
          <w:lang w:val="de-DE"/>
        </w:rPr>
        <w:t>I FARMACIE</w:t>
      </w:r>
    </w:p>
    <w:p w14:paraId="37D344F5" w14:textId="77777777" w:rsidR="003B78A7" w:rsidRDefault="00763356">
      <w:pPr>
        <w:pStyle w:val="Header"/>
        <w:tabs>
          <w:tab w:val="clear" w:pos="9072"/>
          <w:tab w:val="right" w:pos="9000"/>
        </w:tabs>
        <w:jc w:val="center"/>
        <w:rPr>
          <w:rFonts w:ascii="Palatino Linotype" w:eastAsia="Palatino Linotype" w:hAnsi="Palatino Linotype" w:cs="Palatino Linotype"/>
          <w:b/>
          <w:bCs/>
          <w:i/>
          <w:iCs/>
          <w:color w:val="002060"/>
          <w:sz w:val="28"/>
          <w:szCs w:val="28"/>
          <w:u w:color="00206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color w:val="002060"/>
          <w:sz w:val="28"/>
          <w:szCs w:val="28"/>
          <w:u w:color="002060"/>
        </w:rPr>
        <w:t>“</w:t>
      </w:r>
      <w:r>
        <w:rPr>
          <w:rFonts w:ascii="Palatino Linotype" w:eastAsia="Palatino Linotype" w:hAnsi="Palatino Linotype" w:cs="Palatino Linotype"/>
          <w:b/>
          <w:bCs/>
          <w:i/>
          <w:iCs/>
          <w:color w:val="002060"/>
          <w:sz w:val="28"/>
          <w:szCs w:val="28"/>
          <w:u w:color="002060"/>
        </w:rPr>
        <w:t>CAROL DAVILA” din BUCUREȘTI</w:t>
      </w:r>
    </w:p>
    <w:p w14:paraId="3F0933C2" w14:textId="77777777" w:rsidR="003B78A7" w:rsidRDefault="00763356">
      <w:pPr>
        <w:pStyle w:val="Header"/>
        <w:tabs>
          <w:tab w:val="clear" w:pos="9072"/>
          <w:tab w:val="right" w:pos="9000"/>
        </w:tabs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250BF44" wp14:editId="7EC67BC6">
                <wp:simplePos x="0" y="0"/>
                <wp:positionH relativeFrom="column">
                  <wp:posOffset>6667</wp:posOffset>
                </wp:positionH>
                <wp:positionV relativeFrom="line">
                  <wp:posOffset>217765</wp:posOffset>
                </wp:positionV>
                <wp:extent cx="5895975" cy="0"/>
                <wp:effectExtent l="0" t="0" r="0" b="0"/>
                <wp:wrapNone/>
                <wp:docPr id="1073741827" name="officeArt object" descr="Auto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17.1pt;width:464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F1381A0" w14:textId="77777777" w:rsidR="003B78A7" w:rsidRDefault="003B78A7">
      <w:pPr>
        <w:pStyle w:val="NormalWeb"/>
        <w:jc w:val="center"/>
        <w:rPr>
          <w:b/>
          <w:bCs/>
        </w:rPr>
      </w:pPr>
    </w:p>
    <w:p w14:paraId="0A60C366" w14:textId="77777777" w:rsidR="003B78A7" w:rsidRDefault="00763356">
      <w:pPr>
        <w:pStyle w:val="NormalWeb"/>
        <w:jc w:val="center"/>
        <w:rPr>
          <w:b/>
          <w:bCs/>
        </w:rPr>
      </w:pPr>
      <w:r>
        <w:rPr>
          <w:b/>
          <w:bCs/>
        </w:rPr>
        <w:t>TEMATICĂ ȘI BIBLIOGRAFIE CONCURS POST ASISTENT UNIVERSITAR PERIOADA DETERMINATA POZIȚIA 7</w:t>
      </w:r>
    </w:p>
    <w:p w14:paraId="3D34E597" w14:textId="77777777" w:rsidR="003B78A7" w:rsidRDefault="00763356">
      <w:pPr>
        <w:pStyle w:val="NormalWeb"/>
        <w:jc w:val="center"/>
      </w:pPr>
      <w:r>
        <w:rPr>
          <w:b/>
          <w:bCs/>
        </w:rPr>
        <w:t xml:space="preserve">  DISCIPLINA MICROBIOLOGIE III SPITALUL UNIVERSITAR DE URGENTA BUCUREȘTI </w:t>
      </w:r>
    </w:p>
    <w:p w14:paraId="31589AE9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Morfologia și structura celulei bacteriene.  Caracteristici comparative între celulele procariote şi eucariote.  Funcțiile  elementelor structurale bacteriene  cu rol în patogenie. </w:t>
      </w:r>
    </w:p>
    <w:p w14:paraId="2F3BBA4E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>Clasificarea bacteriilor  - fenotipică, genotipică,  funcție de necesit</w:t>
      </w:r>
      <w:r>
        <w:t xml:space="preserve">ățile metabolice.  </w:t>
      </w:r>
    </w:p>
    <w:p w14:paraId="21671E20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>Metabolism bacterian. Fermentaţia şi respiraţia.</w:t>
      </w:r>
    </w:p>
    <w:p w14:paraId="0BFB78A9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Creşterea şi multiplicarea bacteriană: necesităţi nutritive, factorii care influenţează creşterea, tipuri de medii de cultură,  caractere de cultură. </w:t>
      </w:r>
    </w:p>
    <w:p w14:paraId="4950A65D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>Genetica bacteriană, org</w:t>
      </w:r>
      <w:r>
        <w:t>anizarea materialului genetic, mecanisme ale variabilității genetice (transformarea, transducția, conjugarea și recombinarea) .</w:t>
      </w:r>
    </w:p>
    <w:p w14:paraId="360B15C0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>Acțiunea  factorilor fizici şi chimici asupra bacteriilor.</w:t>
      </w:r>
    </w:p>
    <w:p w14:paraId="624E4A07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>Antibiotice- clasificare, metode de testare a sensibilității la anti</w:t>
      </w:r>
      <w:r>
        <w:t xml:space="preserve">biotice. </w:t>
      </w:r>
    </w:p>
    <w:p w14:paraId="707AE23B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Interacţiunea microorganism -gazdă.  </w:t>
      </w:r>
    </w:p>
    <w:p w14:paraId="3545DCA8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Procesului infecţios. Factori bacterieni de patogenitate şi virulenţă.  </w:t>
      </w:r>
    </w:p>
    <w:p w14:paraId="542EF02C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>Raspunsul imuni umoral, celular</w:t>
      </w:r>
    </w:p>
    <w:p w14:paraId="27C0AB57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Profilaxia infecțiilor bacteriene, tipuri de vaccinuri. </w:t>
      </w:r>
    </w:p>
    <w:p w14:paraId="2579FCE7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Coci Gram pozitivi- Genurile  </w:t>
      </w:r>
      <w:r>
        <w:rPr>
          <w:i/>
          <w:iCs/>
        </w:rPr>
        <w:t>Staphyloco</w:t>
      </w:r>
      <w:r>
        <w:rPr>
          <w:i/>
          <w:iCs/>
        </w:rPr>
        <w:t xml:space="preserve">ccus, Streptococcus, Enterococcus, </w:t>
      </w:r>
      <w:r>
        <w:t xml:space="preserve">caractere generale, specii cu semnificaţie clinică, patogeneză, boli determinate, diagnostic de laborator </w:t>
      </w:r>
    </w:p>
    <w:p w14:paraId="53E7EAA8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Coci Gram-negativi: Genurile </w:t>
      </w:r>
      <w:r>
        <w:rPr>
          <w:i/>
          <w:iCs/>
        </w:rPr>
        <w:t xml:space="preserve">Neisseria, Moraxella </w:t>
      </w:r>
      <w:r>
        <w:t>– caractere generale, specii cu semnificaţie clinică, patog</w:t>
      </w:r>
      <w:r>
        <w:t>eneză, boli asociate, diagnostic de laborator.</w:t>
      </w:r>
    </w:p>
    <w:p w14:paraId="0322067A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 Bacili Gram-pozitivi aerobi – caractere generale, specii cu semnificaţie clinică, patogeneză, boli asociate, diagnostic de laborator, testarea sensibilității la antimicrobiene:</w:t>
      </w:r>
      <w:r>
        <w:rPr>
          <w:rFonts w:ascii="Cambria" w:hAnsi="Cambria"/>
        </w:rPr>
        <w:t xml:space="preserve"> </w:t>
      </w:r>
      <w:r>
        <w:t xml:space="preserve">bacili </w:t>
      </w:r>
      <w:r>
        <w:t xml:space="preserve">nesporulaţi catalazo-pozitivi: Genul </w:t>
      </w:r>
      <w:r>
        <w:rPr>
          <w:i/>
          <w:iCs/>
        </w:rPr>
        <w:t xml:space="preserve">Corynebacterium, </w:t>
      </w:r>
      <w:r>
        <w:t>bacili nesporulaţi catalazo-negativi</w:t>
      </w:r>
      <w:r>
        <w:rPr>
          <w:i/>
          <w:iCs/>
        </w:rPr>
        <w:t xml:space="preserve">, Gardnerella; </w:t>
      </w:r>
      <w:r>
        <w:t xml:space="preserve">bacili sporulaţi catalazo-pozitivi: Genul </w:t>
      </w:r>
      <w:r>
        <w:rPr>
          <w:i/>
          <w:iCs/>
        </w:rPr>
        <w:t>Bacillus.</w:t>
      </w:r>
    </w:p>
    <w:p w14:paraId="4B5F28D2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 Cocobacili Gram-negativi cu creştere dificilă: Genurile </w:t>
      </w:r>
      <w:r>
        <w:rPr>
          <w:i/>
          <w:iCs/>
        </w:rPr>
        <w:t>Haemophilus, Brucella, Bartonella, Fr</w:t>
      </w:r>
      <w:r>
        <w:rPr>
          <w:i/>
          <w:iCs/>
        </w:rPr>
        <w:t xml:space="preserve">ancisella, Legionella, Bordetella </w:t>
      </w:r>
      <w:r>
        <w:t xml:space="preserve">- caractere generale, specii cu semnificaţie clinică, patogeneză, boli asociate, diagnostic de laborator. </w:t>
      </w:r>
    </w:p>
    <w:p w14:paraId="1CADEA78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Familia </w:t>
      </w:r>
      <w:r>
        <w:rPr>
          <w:i/>
          <w:iCs/>
        </w:rPr>
        <w:t xml:space="preserve">Enterobacteriaceae  </w:t>
      </w:r>
      <w:r>
        <w:t>- caractere generale, clasificare, specii cu semnificaţie clinică, diagnostic de l</w:t>
      </w:r>
      <w:r>
        <w:t xml:space="preserve">aborator, - Genurile </w:t>
      </w:r>
      <w:r>
        <w:rPr>
          <w:i/>
          <w:iCs/>
        </w:rPr>
        <w:t xml:space="preserve">Escherichia, Klebsiella, Enterobacter, </w:t>
      </w:r>
      <w:r>
        <w:rPr>
          <w:i/>
          <w:iCs/>
        </w:rPr>
        <w:lastRenderedPageBreak/>
        <w:t>Serratia, Proteus, Providencia, Citrobacter   (</w:t>
      </w:r>
      <w:r>
        <w:t xml:space="preserve">enterobacterii oportuniste) și Genurile </w:t>
      </w:r>
      <w:r>
        <w:rPr>
          <w:i/>
          <w:iCs/>
        </w:rPr>
        <w:t xml:space="preserve">Salmonella, Shigella, Yersinia, </w:t>
      </w:r>
      <w:r>
        <w:t xml:space="preserve">patotipuri enterale de </w:t>
      </w:r>
      <w:r>
        <w:rPr>
          <w:i/>
          <w:iCs/>
        </w:rPr>
        <w:t xml:space="preserve">E. coli. </w:t>
      </w:r>
    </w:p>
    <w:p w14:paraId="5708B078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Genurile </w:t>
      </w:r>
      <w:r>
        <w:rPr>
          <w:i/>
          <w:iCs/>
        </w:rPr>
        <w:t>Vibrio, Aeromonas, Campylobacter ş</w:t>
      </w:r>
      <w:r>
        <w:rPr>
          <w:i/>
          <w:iCs/>
        </w:rPr>
        <w:t xml:space="preserve">i Helicobacter </w:t>
      </w:r>
      <w:r>
        <w:t xml:space="preserve">- caractere generale, specii cu semnificaţie clinică, patogeneză, boli asociate, diagnostic de laborator. </w:t>
      </w:r>
    </w:p>
    <w:p w14:paraId="0366D240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Bacili Gram-negativi nefermentativi: Genurile </w:t>
      </w:r>
      <w:r>
        <w:rPr>
          <w:i/>
          <w:iCs/>
        </w:rPr>
        <w:t xml:space="preserve">Pseudomonas, Acinetobacter, Stenotrophomonas, Burkholderia </w:t>
      </w:r>
      <w:r>
        <w:t>- caractere generale, spec</w:t>
      </w:r>
      <w:r>
        <w:t>ii cu semnificaţie clinică, patogeneză, boli asociate, diagnostic de laborator.</w:t>
      </w:r>
    </w:p>
    <w:p w14:paraId="1A9C8EE2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Bacterii anaerobe  sporulate - Genul </w:t>
      </w:r>
      <w:r>
        <w:rPr>
          <w:i/>
          <w:iCs/>
        </w:rPr>
        <w:t xml:space="preserve">Clostridium </w:t>
      </w:r>
      <w:r>
        <w:t xml:space="preserve">și </w:t>
      </w:r>
      <w:r>
        <w:rPr>
          <w:i/>
          <w:iCs/>
        </w:rPr>
        <w:t>Clostridioides difficile c</w:t>
      </w:r>
      <w:r>
        <w:t>aractere generale, patogeneză, semnificaţie clinică</w:t>
      </w:r>
      <w:r>
        <w:t xml:space="preserve">, diagnosticul de laborator. </w:t>
      </w:r>
    </w:p>
    <w:p w14:paraId="03223F55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Spirochete: Genurile </w:t>
      </w:r>
      <w:r>
        <w:rPr>
          <w:i/>
          <w:iCs/>
        </w:rPr>
        <w:t>Leptospira, Borrelia, Treponema</w:t>
      </w:r>
      <w:r>
        <w:t>- caractere generale, specii cu semnificaţie clinică, factori de patogenitate, diagnostic de laborator.</w:t>
      </w:r>
    </w:p>
    <w:p w14:paraId="53E46171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Genurile </w:t>
      </w:r>
      <w:r>
        <w:rPr>
          <w:i/>
          <w:iCs/>
        </w:rPr>
        <w:t>Chlamydia</w:t>
      </w:r>
      <w:r>
        <w:t xml:space="preserve">, </w:t>
      </w:r>
      <w:r>
        <w:rPr>
          <w:i/>
          <w:iCs/>
        </w:rPr>
        <w:t>Chlamydophila, Rickettsia</w:t>
      </w:r>
      <w:r>
        <w:t xml:space="preserve">, </w:t>
      </w:r>
      <w:r>
        <w:rPr>
          <w:i/>
          <w:iCs/>
        </w:rPr>
        <w:t xml:space="preserve">Coxiella </w:t>
      </w:r>
      <w:r>
        <w:t xml:space="preserve">– caractere </w:t>
      </w:r>
      <w:r>
        <w:t xml:space="preserve">generale, specii cu semnificaţie clinică, patogenitate, diagnostic de laborator. </w:t>
      </w:r>
    </w:p>
    <w:p w14:paraId="7B7B036B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Genurile </w:t>
      </w:r>
      <w:r>
        <w:rPr>
          <w:i/>
          <w:iCs/>
        </w:rPr>
        <w:t xml:space="preserve">Mycoplasma </w:t>
      </w:r>
      <w:r>
        <w:t xml:space="preserve">şi </w:t>
      </w:r>
      <w:r>
        <w:rPr>
          <w:i/>
          <w:iCs/>
        </w:rPr>
        <w:t xml:space="preserve">Ureaplasma </w:t>
      </w:r>
      <w:r>
        <w:t>- caractere generale, specii cu semnificaţie clinică</w:t>
      </w:r>
      <w:r>
        <w:t xml:space="preserve">,  patogenitate, diagnostic de laborator. </w:t>
      </w:r>
    </w:p>
    <w:p w14:paraId="393F08C5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  <w:rPr>
          <w:color w:val="FF0000"/>
        </w:rPr>
      </w:pPr>
      <w:r>
        <w:t xml:space="preserve">Genul </w:t>
      </w:r>
      <w:r>
        <w:rPr>
          <w:i/>
          <w:iCs/>
        </w:rPr>
        <w:t xml:space="preserve">Mycobacterium </w:t>
      </w:r>
      <w:r>
        <w:t xml:space="preserve">- caractere generale, specii cu semnificaţie clinică, patogenitate, </w:t>
      </w:r>
      <w:r>
        <w:t xml:space="preserve">diagnostic de laborator. </w:t>
      </w:r>
    </w:p>
    <w:p w14:paraId="424052CB" w14:textId="77777777" w:rsidR="003B78A7" w:rsidRDefault="00763356">
      <w:pPr>
        <w:pStyle w:val="NormalWeb"/>
        <w:numPr>
          <w:ilvl w:val="0"/>
          <w:numId w:val="2"/>
        </w:numPr>
        <w:spacing w:line="276" w:lineRule="auto"/>
        <w:jc w:val="both"/>
        <w:rPr>
          <w:color w:val="FF0000"/>
        </w:rPr>
      </w:pPr>
      <w:r>
        <w:t xml:space="preserve">Fungi implicaţi în patologia umană: genurile </w:t>
      </w:r>
      <w:r>
        <w:rPr>
          <w:i/>
          <w:iCs/>
        </w:rPr>
        <w:t>Candida</w:t>
      </w:r>
      <w:r>
        <w:t xml:space="preserve">, </w:t>
      </w:r>
      <w:r>
        <w:rPr>
          <w:i/>
          <w:iCs/>
        </w:rPr>
        <w:t>Cryptococcus</w:t>
      </w:r>
      <w:r>
        <w:t xml:space="preserve">, </w:t>
      </w:r>
      <w:r>
        <w:rPr>
          <w:i/>
          <w:iCs/>
        </w:rPr>
        <w:t>Aspergillus</w:t>
      </w:r>
      <w:r>
        <w:t xml:space="preserve">, </w:t>
      </w:r>
      <w:r>
        <w:rPr>
          <w:i/>
          <w:iCs/>
        </w:rPr>
        <w:t>Penicillium</w:t>
      </w:r>
      <w:r>
        <w:t xml:space="preserve">, </w:t>
      </w:r>
      <w:r>
        <w:rPr>
          <w:i/>
          <w:iCs/>
        </w:rPr>
        <w:t xml:space="preserve">Pneumocystis. </w:t>
      </w:r>
    </w:p>
    <w:p w14:paraId="38B51ECC" w14:textId="77777777" w:rsidR="003B78A7" w:rsidRDefault="00763356">
      <w:pPr>
        <w:pStyle w:val="ListParagraph"/>
        <w:numPr>
          <w:ilvl w:val="0"/>
          <w:numId w:val="2"/>
        </w:numPr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Virusurile, caractere generale, clasificare, principii de diagnostic, profilaxie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tratament.  </w:t>
      </w:r>
    </w:p>
    <w:p w14:paraId="176B44EA" w14:textId="77777777" w:rsidR="003B78A7" w:rsidRDefault="00763356">
      <w:pPr>
        <w:pStyle w:val="NormalWeb"/>
        <w:spacing w:line="276" w:lineRule="auto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Bibliografie: </w:t>
      </w:r>
    </w:p>
    <w:p w14:paraId="093F7F75" w14:textId="77777777" w:rsidR="003B78A7" w:rsidRDefault="007633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Levinson W. Review of Medical Microbiology and Immunology, 18-th edition; Mc Graw Hill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Lange, 2024.</w:t>
      </w:r>
    </w:p>
    <w:p w14:paraId="640952B1" w14:textId="77777777" w:rsidR="003B78A7" w:rsidRDefault="007633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Jawetz, Melnick, </w:t>
      </w:r>
      <w:r>
        <w:rPr>
          <w:rFonts w:ascii="Times New Roman" w:hAnsi="Times New Roman"/>
          <w:sz w:val="24"/>
          <w:szCs w:val="24"/>
        </w:rPr>
        <w:t>Adelberg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Medical Microbiology -28-th edition; Lange Medical Books/ McGraw- Hill; 2019. </w:t>
      </w:r>
    </w:p>
    <w:p w14:paraId="54B62A10" w14:textId="77777777" w:rsidR="003B78A7" w:rsidRDefault="00763356">
      <w:pPr>
        <w:pStyle w:val="NormalWeb"/>
        <w:numPr>
          <w:ilvl w:val="0"/>
          <w:numId w:val="4"/>
        </w:numPr>
        <w:spacing w:before="0" w:after="0"/>
        <w:jc w:val="both"/>
        <w:rPr>
          <w:color w:val="FF0000"/>
        </w:rPr>
      </w:pPr>
      <w:r>
        <w:t>Buiuc D, Neguț M: Tratat de microbiologie clinică. Ediția a III-a, București, Editura medicală, 2017.</w:t>
      </w:r>
    </w:p>
    <w:p w14:paraId="6B7898E1" w14:textId="77777777" w:rsidR="003B78A7" w:rsidRDefault="0076335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icu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 Bacteriologie si imunologie - Curs universitar, E</w:t>
      </w:r>
      <w:r>
        <w:rPr>
          <w:rFonts w:ascii="Times New Roman" w:hAnsi="Times New Roman"/>
          <w:sz w:val="24"/>
          <w:szCs w:val="24"/>
        </w:rPr>
        <w:t>ditura Universitar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Carol Davila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2011, ISBN: 978-973-708-535- 1.</w:t>
      </w:r>
    </w:p>
    <w:p w14:paraId="0C8DCD41" w14:textId="77777777" w:rsidR="003B78A7" w:rsidRDefault="0076335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8.04.2024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Prof. univ.dr. Anda B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icu</w:t>
      </w:r>
      <w:r>
        <w:rPr>
          <w:rFonts w:ascii="Times New Roman" w:hAnsi="Times New Roman"/>
          <w:sz w:val="24"/>
          <w:szCs w:val="24"/>
        </w:rPr>
        <w:t>ș</w:t>
      </w:r>
    </w:p>
    <w:p w14:paraId="3707DE1A" w14:textId="28A927B0" w:rsidR="003B78A7" w:rsidRDefault="003B78A7">
      <w:pPr>
        <w:pStyle w:val="Body"/>
        <w:jc w:val="right"/>
      </w:pPr>
    </w:p>
    <w:sectPr w:rsidR="003B78A7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2D8B" w14:textId="77777777" w:rsidR="00763356" w:rsidRDefault="00763356">
      <w:r>
        <w:separator/>
      </w:r>
    </w:p>
  </w:endnote>
  <w:endnote w:type="continuationSeparator" w:id="0">
    <w:p w14:paraId="53007E4A" w14:textId="77777777" w:rsidR="00763356" w:rsidRDefault="0076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1396" w14:textId="77777777" w:rsidR="003B78A7" w:rsidRDefault="003B78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FCBD" w14:textId="77777777" w:rsidR="00763356" w:rsidRDefault="00763356">
      <w:r>
        <w:separator/>
      </w:r>
    </w:p>
  </w:footnote>
  <w:footnote w:type="continuationSeparator" w:id="0">
    <w:p w14:paraId="5CD3F209" w14:textId="77777777" w:rsidR="00763356" w:rsidRDefault="0076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FB18" w14:textId="77777777" w:rsidR="003B78A7" w:rsidRDefault="003B78A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560"/>
    <w:multiLevelType w:val="hybridMultilevel"/>
    <w:tmpl w:val="617A16EC"/>
    <w:numStyleLink w:val="ImportedStyle1"/>
  </w:abstractNum>
  <w:abstractNum w:abstractNumId="1" w15:restartNumberingAfterBreak="0">
    <w:nsid w:val="22C51109"/>
    <w:multiLevelType w:val="hybridMultilevel"/>
    <w:tmpl w:val="8C7AAE04"/>
    <w:styleLink w:val="ImportedStyle2"/>
    <w:lvl w:ilvl="0" w:tplc="59FC96A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E44F62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04DB8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347378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12889A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44CCBA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3C9EF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107FCC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6EA96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165C03"/>
    <w:multiLevelType w:val="hybridMultilevel"/>
    <w:tmpl w:val="8C7AAE04"/>
    <w:numStyleLink w:val="ImportedStyle2"/>
  </w:abstractNum>
  <w:abstractNum w:abstractNumId="3" w15:restartNumberingAfterBreak="0">
    <w:nsid w:val="71C85E16"/>
    <w:multiLevelType w:val="hybridMultilevel"/>
    <w:tmpl w:val="617A16EC"/>
    <w:styleLink w:val="ImportedStyle1"/>
    <w:lvl w:ilvl="0" w:tplc="C468726C">
      <w:start w:val="1"/>
      <w:numFmt w:val="decimal"/>
      <w:lvlText w:val="%1."/>
      <w:lvlJc w:val="left"/>
      <w:pPr>
        <w:ind w:left="502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A0FEAE">
      <w:start w:val="1"/>
      <w:numFmt w:val="lowerLetter"/>
      <w:lvlText w:val="%2."/>
      <w:lvlJc w:val="left"/>
      <w:pPr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1055B8">
      <w:start w:val="1"/>
      <w:numFmt w:val="lowerRoman"/>
      <w:lvlText w:val="%3."/>
      <w:lvlJc w:val="left"/>
      <w:pPr>
        <w:ind w:left="2160" w:hanging="3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EE4CF2">
      <w:start w:val="1"/>
      <w:numFmt w:val="decimal"/>
      <w:lvlText w:val="%4."/>
      <w:lvlJc w:val="left"/>
      <w:pPr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1A2EE8">
      <w:start w:val="1"/>
      <w:numFmt w:val="lowerLetter"/>
      <w:lvlText w:val="%5."/>
      <w:lvlJc w:val="left"/>
      <w:pPr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AAE8C8">
      <w:start w:val="1"/>
      <w:numFmt w:val="lowerRoman"/>
      <w:lvlText w:val="%6."/>
      <w:lvlJc w:val="left"/>
      <w:pPr>
        <w:ind w:left="4320" w:hanging="3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881B2">
      <w:start w:val="1"/>
      <w:numFmt w:val="decimal"/>
      <w:lvlText w:val="%7."/>
      <w:lvlJc w:val="left"/>
      <w:pPr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B6B57E">
      <w:start w:val="1"/>
      <w:numFmt w:val="lowerLetter"/>
      <w:lvlText w:val="%8."/>
      <w:lvlJc w:val="left"/>
      <w:pPr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AA7D26">
      <w:start w:val="1"/>
      <w:numFmt w:val="lowerRoman"/>
      <w:lvlText w:val="%9."/>
      <w:lvlJc w:val="left"/>
      <w:pPr>
        <w:ind w:left="6480" w:hanging="3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206C222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87E4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3C2BB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3EF52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0A9A9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E8AC6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FA4F9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9AA3F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4E531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A7"/>
    <w:rsid w:val="003B78A7"/>
    <w:rsid w:val="00763356"/>
    <w:rsid w:val="009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774E"/>
  <w15:docId w15:val="{B11AE612-6FEA-4A4D-8FF7-F5FF920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</cp:lastModifiedBy>
  <cp:revision>2</cp:revision>
  <dcterms:created xsi:type="dcterms:W3CDTF">2024-06-07T09:19:00Z</dcterms:created>
  <dcterms:modified xsi:type="dcterms:W3CDTF">2024-06-07T09:19:00Z</dcterms:modified>
</cp:coreProperties>
</file>