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87732">
      <w:pPr>
        <w:shd w:val="clear" w:color="auto" w:fill="FFFFFF"/>
        <w:spacing w:after="0" w:line="240" w:lineRule="auto"/>
        <w:jc w:val="center"/>
        <w:rPr>
          <w:rFonts w:hint="default" w:ascii="Aller" w:hAnsi="Aller" w:eastAsia="Times New Roman" w:cs="Times New Roman"/>
          <w:b/>
          <w:bCs/>
          <w:color w:val="2711DA"/>
          <w:sz w:val="32"/>
          <w:szCs w:val="32"/>
          <w:lang w:val="en-US"/>
        </w:rPr>
      </w:pPr>
      <w:r>
        <w:rPr>
          <w:rFonts w:ascii="Aller" w:hAnsi="Aller" w:eastAsia="Times New Roman" w:cs="Times New Roman"/>
          <w:b/>
          <w:bCs/>
          <w:color w:val="2711DA"/>
          <w:sz w:val="32"/>
          <w:szCs w:val="32"/>
        </w:rPr>
        <w:t xml:space="preserve">TEMATICA </w:t>
      </w:r>
      <w:r>
        <w:rPr>
          <w:rFonts w:hint="default" w:ascii="Aller" w:hAnsi="Aller" w:eastAsia="Times New Roman" w:cs="Times New Roman"/>
          <w:b/>
          <w:bCs/>
          <w:color w:val="2711DA"/>
          <w:sz w:val="32"/>
          <w:szCs w:val="32"/>
          <w:lang w:val="en-US"/>
        </w:rPr>
        <w:t>PROBA DIDACTICA</w:t>
      </w:r>
    </w:p>
    <w:p w14:paraId="0A51298D">
      <w:pPr>
        <w:shd w:val="clear" w:color="auto" w:fill="FFFFFF"/>
        <w:spacing w:after="0" w:line="240" w:lineRule="auto"/>
        <w:jc w:val="center"/>
        <w:rPr>
          <w:rFonts w:hint="default" w:ascii="Aller" w:hAnsi="Aller" w:eastAsia="Times New Roman" w:cs="Times New Roman"/>
          <w:b/>
          <w:bCs/>
          <w:color w:val="2711DA"/>
          <w:sz w:val="32"/>
          <w:szCs w:val="32"/>
          <w:lang w:val="ro-RO"/>
        </w:rPr>
      </w:pPr>
      <w:bookmarkStart w:id="0" w:name="_GoBack"/>
      <w:r>
        <w:rPr>
          <w:rFonts w:hint="default" w:ascii="Aller" w:hAnsi="Aller" w:eastAsia="Times New Roman" w:cs="Times New Roman"/>
          <w:b/>
          <w:bCs/>
          <w:color w:val="2711DA"/>
          <w:sz w:val="32"/>
          <w:szCs w:val="32"/>
          <w:lang w:val="ro-RO"/>
        </w:rPr>
        <w:t>p</w:t>
      </w:r>
      <w:r>
        <w:rPr>
          <w:rFonts w:ascii="Aller" w:hAnsi="Aller" w:eastAsia="Times New Roman" w:cs="Times New Roman"/>
          <w:b/>
          <w:bCs/>
          <w:color w:val="2711DA"/>
          <w:sz w:val="32"/>
          <w:szCs w:val="32"/>
        </w:rPr>
        <w:t xml:space="preserve">entru postul de </w:t>
      </w:r>
      <w:r>
        <w:rPr>
          <w:rFonts w:hint="default" w:ascii="Aller" w:hAnsi="Aller" w:eastAsia="Times New Roman" w:cs="Times New Roman"/>
          <w:b/>
          <w:bCs/>
          <w:color w:val="2711DA"/>
          <w:sz w:val="32"/>
          <w:szCs w:val="32"/>
          <w:lang w:val="ro-RO"/>
        </w:rPr>
        <w:t>Conferentiar</w:t>
      </w:r>
      <w:r>
        <w:rPr>
          <w:rFonts w:hint="default" w:ascii="Aller" w:hAnsi="Aller" w:eastAsia="Times New Roman" w:cs="Times New Roman"/>
          <w:b/>
          <w:bCs/>
          <w:color w:val="2711DA"/>
          <w:sz w:val="32"/>
          <w:szCs w:val="32"/>
          <w:lang w:val="en-US"/>
        </w:rPr>
        <w:t xml:space="preserve">, Pozitia </w:t>
      </w:r>
      <w:r>
        <w:rPr>
          <w:rFonts w:hint="default" w:ascii="Aller" w:hAnsi="Aller" w:eastAsia="Times New Roman" w:cs="Times New Roman"/>
          <w:b/>
          <w:bCs/>
          <w:color w:val="2711DA"/>
          <w:sz w:val="32"/>
          <w:szCs w:val="32"/>
          <w:lang w:val="ro-RO"/>
        </w:rPr>
        <w:t>2</w:t>
      </w:r>
    </w:p>
    <w:bookmarkEnd w:id="0"/>
    <w:p w14:paraId="4ED2BBA3">
      <w:pPr>
        <w:shd w:val="clear" w:color="auto" w:fill="FFFFFF"/>
        <w:spacing w:after="0" w:line="240" w:lineRule="auto"/>
        <w:jc w:val="center"/>
        <w:rPr>
          <w:rFonts w:hint="default" w:ascii="Aller" w:hAnsi="Aller" w:eastAsia="Times New Roman" w:cs="Times New Roman"/>
          <w:b/>
          <w:bCs/>
          <w:color w:val="2711DA"/>
          <w:sz w:val="32"/>
          <w:szCs w:val="32"/>
          <w:lang w:val="ro-RO"/>
        </w:rPr>
      </w:pPr>
      <w:r>
        <w:rPr>
          <w:rFonts w:ascii="Aller" w:hAnsi="Aller" w:eastAsia="Times New Roman" w:cs="Times New Roman"/>
          <w:b/>
          <w:bCs/>
          <w:color w:val="2711DA"/>
          <w:sz w:val="32"/>
          <w:szCs w:val="32"/>
        </w:rPr>
        <w:t xml:space="preserve">Disciplina ORL , </w:t>
      </w:r>
      <w:r>
        <w:rPr>
          <w:rFonts w:hint="default" w:ascii="Aller" w:hAnsi="Aller" w:eastAsia="Times New Roman" w:cs="Times New Roman"/>
          <w:b/>
          <w:bCs/>
          <w:color w:val="2711DA"/>
          <w:sz w:val="32"/>
          <w:szCs w:val="32"/>
          <w:lang w:val="ro-RO"/>
        </w:rPr>
        <w:t>Spitalul Clinic Marie Curie</w:t>
      </w:r>
    </w:p>
    <w:p w14:paraId="6EA3828C">
      <w:pPr>
        <w:shd w:val="clear" w:color="auto" w:fill="FFFFFF"/>
        <w:spacing w:after="0" w:line="240" w:lineRule="auto"/>
        <w:jc w:val="center"/>
        <w:rPr>
          <w:sz w:val="32"/>
          <w:szCs w:val="32"/>
        </w:rPr>
      </w:pPr>
      <w:r>
        <w:rPr>
          <w:rFonts w:ascii="Aller" w:hAnsi="Aller" w:eastAsia="Times New Roman" w:cs="Times New Roman"/>
          <w:b/>
          <w:bCs/>
          <w:color w:val="2711DA"/>
          <w:sz w:val="32"/>
          <w:szCs w:val="32"/>
        </w:rPr>
        <w:t>Departamentul 12 Oftalmologie</w:t>
      </w:r>
      <w:r>
        <w:rPr>
          <w:rFonts w:hint="default" w:ascii="Aller" w:hAnsi="Aller" w:eastAsia="Times New Roman" w:cs="Times New Roman"/>
          <w:b/>
          <w:bCs/>
          <w:color w:val="2711DA"/>
          <w:sz w:val="32"/>
          <w:szCs w:val="32"/>
          <w:lang w:val="en-US"/>
        </w:rPr>
        <w:t xml:space="preserve"> - </w:t>
      </w:r>
      <w:r>
        <w:rPr>
          <w:rFonts w:ascii="Aller" w:hAnsi="Aller" w:eastAsia="Times New Roman" w:cs="Times New Roman"/>
          <w:b/>
          <w:bCs/>
          <w:color w:val="2711DA"/>
          <w:sz w:val="32"/>
          <w:szCs w:val="32"/>
        </w:rPr>
        <w:t>ORL</w:t>
      </w:r>
    </w:p>
    <w:p w14:paraId="77DDD011">
      <w:pPr>
        <w:rPr>
          <w:sz w:val="24"/>
          <w:szCs w:val="24"/>
        </w:rPr>
      </w:pPr>
    </w:p>
    <w:p w14:paraId="6CD23511">
      <w:pPr>
        <w:rPr>
          <w:sz w:val="24"/>
          <w:szCs w:val="24"/>
        </w:rPr>
      </w:pPr>
    </w:p>
    <w:p w14:paraId="71BF8B8B">
      <w:pPr>
        <w:numPr>
          <w:ilvl w:val="0"/>
          <w:numId w:val="1"/>
        </w:numPr>
        <w:shd w:val="clear" w:color="auto" w:fill="FFFFFF"/>
        <w:spacing w:after="0" w:line="360" w:lineRule="auto"/>
        <w:ind w:left="220" w:leftChars="0" w:firstLineChars="0"/>
        <w:jc w:val="both"/>
        <w:rPr>
          <w:rFonts w:hint="default" w:ascii="Aller" w:hAnsi="Aller" w:eastAsia="Times New Roman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Aller" w:hAnsi="Aller" w:eastAsia="Times New Roman" w:cs="Times New Roman"/>
          <w:b w:val="0"/>
          <w:bCs w:val="0"/>
          <w:color w:val="auto"/>
          <w:sz w:val="28"/>
          <w:szCs w:val="28"/>
          <w:lang w:val="en-US"/>
        </w:rPr>
        <w:t>Rinosinuzitele acute si cronice</w:t>
      </w:r>
    </w:p>
    <w:p w14:paraId="23E3F33F">
      <w:pPr>
        <w:numPr>
          <w:ilvl w:val="0"/>
          <w:numId w:val="1"/>
        </w:numPr>
        <w:shd w:val="clear" w:color="auto" w:fill="FFFFFF"/>
        <w:spacing w:after="0" w:line="360" w:lineRule="auto"/>
        <w:ind w:left="220" w:leftChars="0" w:firstLineChars="0"/>
        <w:jc w:val="both"/>
        <w:rPr>
          <w:rFonts w:hint="default" w:ascii="Aller" w:hAnsi="Aller" w:eastAsia="Times New Roman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Aller" w:hAnsi="Aller" w:eastAsia="Times New Roman" w:cs="Times New Roman"/>
          <w:b w:val="0"/>
          <w:bCs w:val="0"/>
          <w:color w:val="auto"/>
          <w:sz w:val="28"/>
          <w:szCs w:val="28"/>
          <w:lang w:val="ro-RO"/>
        </w:rPr>
        <w:t>Otitele acute si cronice la copil</w:t>
      </w:r>
    </w:p>
    <w:p w14:paraId="693D884B">
      <w:pPr>
        <w:numPr>
          <w:ilvl w:val="0"/>
          <w:numId w:val="1"/>
        </w:numPr>
        <w:shd w:val="clear" w:color="auto" w:fill="FFFFFF"/>
        <w:spacing w:after="0" w:line="360" w:lineRule="auto"/>
        <w:ind w:left="220" w:leftChars="0" w:firstLineChars="0"/>
        <w:jc w:val="both"/>
        <w:rPr>
          <w:rFonts w:hint="default" w:ascii="Aller" w:hAnsi="Aller" w:eastAsia="Times New Roman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Aller" w:hAnsi="Aller" w:eastAsia="Times New Roman" w:cs="Times New Roman"/>
          <w:b w:val="0"/>
          <w:bCs w:val="0"/>
          <w:color w:val="auto"/>
          <w:sz w:val="28"/>
          <w:szCs w:val="28"/>
          <w:lang w:val="en-US"/>
        </w:rPr>
        <w:t>Laringitele acute si cronice</w:t>
      </w:r>
    </w:p>
    <w:p w14:paraId="4F8CDBAE">
      <w:pPr>
        <w:numPr>
          <w:ilvl w:val="0"/>
          <w:numId w:val="1"/>
        </w:numPr>
        <w:shd w:val="clear" w:color="auto" w:fill="FFFFFF"/>
        <w:spacing w:after="0" w:line="360" w:lineRule="auto"/>
        <w:ind w:left="220" w:leftChars="0" w:firstLineChars="0"/>
        <w:jc w:val="both"/>
        <w:rPr>
          <w:rFonts w:ascii="Aller" w:hAnsi="Aller" w:eastAsia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Aller" w:hAnsi="Aller" w:eastAsia="Times New Roman" w:cs="Times New Roman"/>
          <w:b w:val="0"/>
          <w:bCs w:val="0"/>
          <w:color w:val="auto"/>
          <w:sz w:val="28"/>
          <w:szCs w:val="28"/>
          <w:lang w:val="ro-RO"/>
        </w:rPr>
        <w:t>Corpii străini a nivelul căilor aerodigestive superioare</w:t>
      </w:r>
    </w:p>
    <w:p w14:paraId="6CB609D3">
      <w:pPr>
        <w:numPr>
          <w:ilvl w:val="0"/>
          <w:numId w:val="1"/>
        </w:numPr>
        <w:shd w:val="clear" w:color="auto" w:fill="FFFFFF"/>
        <w:spacing w:after="0" w:line="360" w:lineRule="auto"/>
        <w:ind w:left="220" w:leftChars="0" w:firstLineChars="0"/>
        <w:jc w:val="both"/>
        <w:rPr>
          <w:rFonts w:ascii="Aller" w:hAnsi="Aller" w:eastAsia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Aller" w:hAnsi="Aller" w:eastAsia="Times New Roman" w:cs="Times New Roman"/>
          <w:b w:val="0"/>
          <w:bCs w:val="0"/>
          <w:color w:val="auto"/>
          <w:sz w:val="28"/>
          <w:szCs w:val="28"/>
          <w:lang w:val="ro-RO"/>
        </w:rPr>
        <w:t>Diagnosticul etiologic al adenopatiilor cervicale la copil</w:t>
      </w:r>
    </w:p>
    <w:p w14:paraId="49CC73A4">
      <w:pPr>
        <w:numPr>
          <w:ilvl w:val="0"/>
          <w:numId w:val="1"/>
        </w:numPr>
        <w:shd w:val="clear" w:color="auto" w:fill="FFFFFF"/>
        <w:spacing w:after="0" w:line="360" w:lineRule="auto"/>
        <w:ind w:left="220" w:leftChars="0" w:firstLineChars="0"/>
        <w:jc w:val="both"/>
        <w:rPr>
          <w:rFonts w:ascii="Aller" w:hAnsi="Aller" w:eastAsia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Aller" w:hAnsi="Aller" w:eastAsia="Times New Roman" w:cs="Times New Roman"/>
          <w:b w:val="0"/>
          <w:bCs w:val="0"/>
          <w:color w:val="auto"/>
          <w:sz w:val="28"/>
          <w:szCs w:val="28"/>
          <w:lang w:val="ro-RO"/>
        </w:rPr>
        <w:t xml:space="preserve">Amigdalita croninca si </w:t>
      </w:r>
      <w:r>
        <w:rPr>
          <w:rFonts w:hint="default" w:ascii="Aller" w:hAnsi="Aller" w:eastAsia="Times New Roman" w:cs="Times New Roman"/>
          <w:b w:val="0"/>
          <w:bCs w:val="0"/>
          <w:color w:val="auto"/>
          <w:sz w:val="28"/>
          <w:szCs w:val="28"/>
          <w:lang w:val="en-US"/>
        </w:rPr>
        <w:t>Boala de focar amigdalian</w:t>
      </w:r>
    </w:p>
    <w:p w14:paraId="3AEFBD49">
      <w:pPr>
        <w:numPr>
          <w:ilvl w:val="0"/>
          <w:numId w:val="1"/>
        </w:numPr>
        <w:shd w:val="clear" w:color="auto" w:fill="FFFFFF"/>
        <w:spacing w:after="0" w:line="360" w:lineRule="auto"/>
        <w:ind w:left="220" w:leftChars="0" w:firstLineChars="0"/>
        <w:jc w:val="both"/>
        <w:rPr>
          <w:rFonts w:ascii="Aller" w:hAnsi="Aller" w:eastAsia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Aller" w:hAnsi="Aller" w:eastAsia="Times New Roman" w:cs="Times New Roman"/>
          <w:b w:val="0"/>
          <w:bCs w:val="0"/>
          <w:color w:val="auto"/>
          <w:sz w:val="28"/>
          <w:szCs w:val="28"/>
          <w:lang w:val="ro-RO"/>
        </w:rPr>
        <w:t>Adenoidita cronica (diagnostic, complicatii sistemice conduita terapeutica)</w:t>
      </w:r>
    </w:p>
    <w:p w14:paraId="14A2BC33">
      <w:pPr>
        <w:numPr>
          <w:ilvl w:val="0"/>
          <w:numId w:val="1"/>
        </w:numPr>
        <w:shd w:val="clear" w:color="auto" w:fill="FFFFFF"/>
        <w:spacing w:after="0" w:line="360" w:lineRule="auto"/>
        <w:ind w:left="220" w:leftChars="0" w:firstLineChars="0"/>
        <w:jc w:val="both"/>
        <w:rPr>
          <w:sz w:val="28"/>
          <w:szCs w:val="28"/>
        </w:rPr>
      </w:pPr>
      <w:r>
        <w:rPr>
          <w:rFonts w:hint="default" w:ascii="Aller" w:hAnsi="Aller" w:eastAsia="Times New Roman" w:cs="Times New Roman"/>
          <w:b w:val="0"/>
          <w:bCs w:val="0"/>
          <w:color w:val="auto"/>
          <w:sz w:val="28"/>
          <w:szCs w:val="28"/>
          <w:lang w:val="ro-RO"/>
        </w:rPr>
        <w:t>Implantul cohlear la copil (indicatii, contraindicatii,tehnica operatorie)</w:t>
      </w:r>
    </w:p>
    <w:p w14:paraId="630F8353">
      <w:pPr>
        <w:numPr>
          <w:ilvl w:val="0"/>
          <w:numId w:val="1"/>
        </w:numPr>
        <w:shd w:val="clear" w:color="auto" w:fill="FFFFFF"/>
        <w:spacing w:after="0" w:line="360" w:lineRule="auto"/>
        <w:ind w:left="220" w:leftChars="0" w:firstLineChars="0"/>
        <w:jc w:val="both"/>
        <w:rPr>
          <w:sz w:val="28"/>
          <w:szCs w:val="28"/>
        </w:rPr>
      </w:pPr>
      <w:r>
        <w:rPr>
          <w:rFonts w:hint="default" w:ascii="Aller" w:hAnsi="Aller" w:eastAsia="Times New Roman" w:cs="Times New Roman"/>
          <w:b w:val="0"/>
          <w:bCs w:val="0"/>
          <w:color w:val="auto"/>
          <w:sz w:val="28"/>
          <w:szCs w:val="28"/>
          <w:lang w:val="ro-RO"/>
        </w:rPr>
        <w:t xml:space="preserve">Papilomatoza laringiana </w:t>
      </w:r>
    </w:p>
    <w:p w14:paraId="4579A63A">
      <w:pPr>
        <w:numPr>
          <w:numId w:val="0"/>
        </w:numPr>
        <w:shd w:val="clear" w:color="auto" w:fill="FFFFFF"/>
        <w:spacing w:after="0" w:line="360" w:lineRule="auto"/>
        <w:ind w:left="220" w:leftChars="0"/>
        <w:jc w:val="both"/>
      </w:pPr>
      <w:r>
        <w:rPr>
          <w:rFonts w:hint="default" w:ascii="Aller" w:hAnsi="Aller" w:eastAsia="Times New Roman" w:cs="Times New Roman"/>
          <w:b w:val="0"/>
          <w:bCs w:val="0"/>
          <w:color w:val="auto"/>
          <w:sz w:val="28"/>
          <w:szCs w:val="28"/>
          <w:lang w:val="ro-RO"/>
        </w:rPr>
        <w:t>10.</w:t>
      </w:r>
      <w:r>
        <w:rPr>
          <w:rFonts w:hint="default" w:ascii="Aller" w:hAnsi="Aller" w:eastAsia="Times New Roman" w:cs="Times New Roman"/>
          <w:b w:val="0"/>
          <w:bCs w:val="0"/>
          <w:color w:val="auto"/>
          <w:sz w:val="28"/>
          <w:szCs w:val="28"/>
          <w:lang w:val="en-US"/>
        </w:rPr>
        <w:t>Supuratiile cervicale</w:t>
      </w:r>
      <w:r>
        <w:rPr>
          <w:rFonts w:ascii="Aller" w:hAnsi="Aller" w:eastAsia="Times New Roman" w:cs="Times New Roman"/>
          <w:b w:val="0"/>
          <w:bCs w:val="0"/>
          <w:color w:val="auto"/>
          <w:sz w:val="28"/>
          <w:szCs w:val="28"/>
        </w:rPr>
        <w:t xml:space="preserve">     </w:t>
      </w:r>
      <w:r>
        <w:rPr>
          <w:rFonts w:ascii="Aller" w:hAnsi="Aller" w:eastAsia="Times New Roman" w:cs="Times New Roman"/>
          <w:b w:val="0"/>
          <w:bCs w:val="0"/>
          <w:color w:val="auto"/>
          <w:sz w:val="24"/>
          <w:szCs w:val="24"/>
        </w:rPr>
        <w:t xml:space="preserve">          </w:t>
      </w:r>
      <w:r>
        <w:rPr>
          <w:rFonts w:ascii="Aller" w:hAnsi="Aller" w:eastAsia="Times New Roman" w:cs="Times New Roman"/>
          <w:b w:val="0"/>
          <w:bCs w:val="0"/>
          <w:color w:val="auto"/>
          <w:sz w:val="36"/>
          <w:szCs w:val="36"/>
        </w:rPr>
        <w:t xml:space="preserve">        </w:t>
      </w:r>
    </w:p>
    <w:p w14:paraId="59D66FAD"/>
    <w:p w14:paraId="5D56E34F">
      <w:pPr>
        <w:bidi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BIBLIOGRAFIE</w:t>
      </w:r>
    </w:p>
    <w:p w14:paraId="762BC1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1. OTORINOLARINGOLOGIE SI CHIRURGIE CERVICOFACIALA, coordonator</w:t>
      </w:r>
    </w:p>
    <w:p w14:paraId="2299E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Sarafoleanu C. în „Tratat de chirurgie”, sub redacţia Irinel Popescu, Constantin Ciuce, vol. 1,</w:t>
      </w:r>
    </w:p>
    <w:p w14:paraId="2AFC0B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Editura Academiei Române, 2012.</w:t>
      </w:r>
    </w:p>
    <w:p w14:paraId="558AF2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2. REABILITAREA SI IGIENA VOCII. Muresan R, Chirila M. Editura. Alma Mater, 2010</w:t>
      </w:r>
    </w:p>
    <w:p w14:paraId="2813E7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3. TULBURARILE RESPIRATORII IN SOMN. Sarafoleanu C.- coordonator. Editura</w:t>
      </w:r>
    </w:p>
    <w:p w14:paraId="2AAABB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Academiei Romane, 2016.</w:t>
      </w:r>
    </w:p>
    <w:p w14:paraId="123599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4. EUROPEAN MANUAL OF MEDICINE–OTORHINOLARYNGOLOGY, HEAD AND</w:t>
      </w:r>
    </w:p>
    <w:p w14:paraId="241CA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NECK SURGERY. Anniko M, Bernal-Sprekelsen M., Bonkowsky V., Bradley P., Iurato S.</w:t>
      </w:r>
    </w:p>
    <w:p w14:paraId="38DED5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Springer Verlag, 2010.</w:t>
      </w:r>
    </w:p>
    <w:p w14:paraId="548147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5. CUMMINGS-OTOLARYNGOLOGY HEAD AND NECK SURGERY. Sixth Edition.</w:t>
      </w:r>
    </w:p>
    <w:p w14:paraId="19A359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Flint P.W., Haughey B. H., Lund V. J., Niparko J. K., Richardson M. A., Robbins K. T., Thomas</w:t>
      </w:r>
    </w:p>
    <w:p w14:paraId="553F7C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J. R. Mosby – Elsevier Publishing House, 2016.</w:t>
      </w:r>
    </w:p>
    <w:p w14:paraId="7B6174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6. ENT-HEAD AND NECK SURGERY: ESSENTIAL PROCEDURES. Theissing J.,</w:t>
      </w:r>
    </w:p>
    <w:p w14:paraId="740FAB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Rettinger G., Werner J. Ed. Thieme Verlag, 2011.</w:t>
      </w:r>
    </w:p>
    <w:p w14:paraId="35DF2B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7. OTOLARYNGOLOGY AND HEAD AND NECK SURGERY. Warner G., Burgess A.,</w:t>
      </w:r>
    </w:p>
    <w:p w14:paraId="52F718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Patel S., Martinez-Devesa P., Corbridge R. OXFORD University Press, 2009.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lle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6D6BD"/>
    <w:multiLevelType w:val="singleLevel"/>
    <w:tmpl w:val="B976D6BD"/>
    <w:lvl w:ilvl="0" w:tentative="0">
      <w:start w:val="1"/>
      <w:numFmt w:val="decimal"/>
      <w:suff w:val="space"/>
      <w:lvlText w:val="%1."/>
      <w:lvlJc w:val="left"/>
      <w:pPr>
        <w:ind w:left="22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90DC5"/>
    <w:rsid w:val="020751D9"/>
    <w:rsid w:val="3FE3692A"/>
    <w:rsid w:val="51990DC5"/>
    <w:rsid w:val="53522400"/>
    <w:rsid w:val="638C54B6"/>
    <w:rsid w:val="7F1C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2023-12-06T13:50:00Z</dcterms:created>
  <dc:creator>R. Andreea</dc:creator>
  <cp:lastModifiedBy>User</cp:lastModifiedBy>
  <cp:lastPrinted>2024-09-05T06:47:00Z</cp:lastPrinted>
  <dcterms:modified xsi:type="dcterms:W3CDTF">2024-09-05T07:02:46Z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DFBF6427EFA74B5FBDF309A3BF2E06ED_13</vt:lpwstr>
  </property>
</Properties>
</file>