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0E92" w14:textId="77777777" w:rsidR="0084421B" w:rsidRPr="00F3047D" w:rsidRDefault="0084421B" w:rsidP="0084421B">
      <w:pPr>
        <w:spacing w:after="0" w:line="240" w:lineRule="auto"/>
        <w:rPr>
          <w:rFonts w:ascii="Times New Roman" w:hAnsi="Times New Roman"/>
          <w:caps/>
          <w:sz w:val="20"/>
          <w:szCs w:val="20"/>
        </w:rPr>
      </w:pPr>
    </w:p>
    <w:p w14:paraId="72A56F81" w14:textId="240B0077" w:rsidR="0084421B" w:rsidRPr="00F3047D" w:rsidRDefault="0084421B" w:rsidP="00F3047D">
      <w:pPr>
        <w:spacing w:after="0"/>
        <w:rPr>
          <w:rFonts w:ascii="Times New Roman" w:hAnsi="Times New Roman"/>
          <w:b/>
          <w:bCs/>
          <w:caps/>
          <w:sz w:val="24"/>
          <w:szCs w:val="24"/>
        </w:rPr>
      </w:pPr>
      <w:r w:rsidRPr="00F3047D">
        <w:rPr>
          <w:rFonts w:ascii="Times New Roman" w:hAnsi="Times New Roman"/>
          <w:b/>
          <w:bCs/>
          <w:caps/>
          <w:sz w:val="24"/>
          <w:szCs w:val="24"/>
        </w:rPr>
        <w:t xml:space="preserve">departamentul 1 </w:t>
      </w:r>
      <w:r w:rsidR="00F3047D" w:rsidRPr="00F3047D">
        <w:rPr>
          <w:rFonts w:ascii="Times New Roman" w:hAnsi="Times New Roman"/>
          <w:b/>
          <w:bCs/>
          <w:caps/>
          <w:sz w:val="24"/>
          <w:szCs w:val="24"/>
        </w:rPr>
        <w:t>–</w:t>
      </w:r>
      <w:r w:rsidRPr="00F3047D">
        <w:rPr>
          <w:rFonts w:ascii="Times New Roman" w:hAnsi="Times New Roman"/>
          <w:b/>
          <w:bCs/>
          <w:caps/>
          <w:sz w:val="24"/>
          <w:szCs w:val="24"/>
        </w:rPr>
        <w:t xml:space="preserve"> ȘtiinȚe fundamentale</w:t>
      </w:r>
    </w:p>
    <w:p w14:paraId="4FB3AF42" w14:textId="77777777" w:rsidR="0084421B" w:rsidRPr="00F3047D" w:rsidRDefault="0084421B" w:rsidP="0084421B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F3047D">
        <w:rPr>
          <w:rFonts w:ascii="Times New Roman" w:hAnsi="Times New Roman"/>
          <w:b/>
          <w:bCs/>
          <w:caps/>
          <w:sz w:val="24"/>
          <w:szCs w:val="24"/>
        </w:rPr>
        <w:t>disciplina de chimie analitică ȘI METODE FIZICO-CHIMICE DE ANALIZĂ</w:t>
      </w:r>
    </w:p>
    <w:p w14:paraId="3B575982" w14:textId="77777777" w:rsidR="0084421B" w:rsidRPr="00F3047D" w:rsidRDefault="0084421B" w:rsidP="00DF29EC">
      <w:pPr>
        <w:spacing w:after="0" w:line="240" w:lineRule="auto"/>
        <w:rPr>
          <w:rFonts w:ascii="Times New Roman" w:hAnsi="Times New Roman"/>
          <w:caps/>
          <w:sz w:val="20"/>
          <w:szCs w:val="20"/>
        </w:rPr>
      </w:pPr>
    </w:p>
    <w:p w14:paraId="2111A499" w14:textId="77777777" w:rsidR="0084421B" w:rsidRPr="00F3047D" w:rsidRDefault="0084421B" w:rsidP="00DF29EC">
      <w:pPr>
        <w:spacing w:after="0" w:line="240" w:lineRule="auto"/>
        <w:rPr>
          <w:rFonts w:ascii="Times New Roman" w:hAnsi="Times New Roman"/>
          <w:caps/>
          <w:sz w:val="20"/>
          <w:szCs w:val="20"/>
        </w:rPr>
      </w:pPr>
    </w:p>
    <w:p w14:paraId="2771939C" w14:textId="77777777" w:rsidR="00CE5CAF" w:rsidRDefault="0084421B" w:rsidP="00F3047D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C5E60">
        <w:rPr>
          <w:rFonts w:ascii="Times New Roman" w:hAnsi="Times New Roman"/>
          <w:b/>
          <w:bCs/>
          <w:caps/>
          <w:sz w:val="24"/>
          <w:szCs w:val="24"/>
        </w:rPr>
        <w:t>Tematica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CE5CAF">
        <w:rPr>
          <w:rFonts w:ascii="Times New Roman" w:hAnsi="Times New Roman"/>
          <w:b/>
          <w:bCs/>
          <w:caps/>
          <w:sz w:val="24"/>
          <w:szCs w:val="24"/>
        </w:rPr>
        <w:t xml:space="preserve">ȘI BIBLIOGRAFIA </w:t>
      </w:r>
      <w:r>
        <w:rPr>
          <w:rFonts w:ascii="Times New Roman" w:hAnsi="Times New Roman"/>
          <w:b/>
          <w:bCs/>
          <w:caps/>
          <w:sz w:val="24"/>
          <w:szCs w:val="24"/>
        </w:rPr>
        <w:t>DE CONCURS</w:t>
      </w:r>
      <w:r w:rsidR="00257868">
        <w:rPr>
          <w:rFonts w:ascii="Times New Roman" w:hAnsi="Times New Roman"/>
          <w:b/>
          <w:bCs/>
          <w:caps/>
          <w:sz w:val="24"/>
          <w:szCs w:val="24"/>
        </w:rPr>
        <w:t xml:space="preserve"> PENTRU </w:t>
      </w:r>
      <w:r w:rsidR="00CE5CAF">
        <w:rPr>
          <w:rFonts w:ascii="Times New Roman" w:hAnsi="Times New Roman"/>
          <w:b/>
          <w:bCs/>
          <w:caps/>
          <w:sz w:val="24"/>
          <w:szCs w:val="24"/>
        </w:rPr>
        <w:t xml:space="preserve">OCUPAREA </w:t>
      </w:r>
      <w:r w:rsidR="00257868">
        <w:rPr>
          <w:rFonts w:ascii="Times New Roman" w:hAnsi="Times New Roman"/>
          <w:b/>
          <w:bCs/>
          <w:caps/>
          <w:sz w:val="24"/>
          <w:szCs w:val="24"/>
        </w:rPr>
        <w:t>POSTUL</w:t>
      </w:r>
      <w:r w:rsidR="00CE5CAF">
        <w:rPr>
          <w:rFonts w:ascii="Times New Roman" w:hAnsi="Times New Roman"/>
          <w:b/>
          <w:bCs/>
          <w:caps/>
          <w:sz w:val="24"/>
          <w:szCs w:val="24"/>
        </w:rPr>
        <w:t>UI</w:t>
      </w:r>
      <w:r w:rsidR="00257868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4FA2F721" w14:textId="4B388AF5" w:rsidR="0084421B" w:rsidRPr="00257868" w:rsidRDefault="00257868" w:rsidP="00CE5CAF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DE </w:t>
      </w:r>
      <w:r w:rsidR="0084421B" w:rsidRPr="00257868">
        <w:rPr>
          <w:rFonts w:ascii="Times New Roman" w:hAnsi="Times New Roman"/>
          <w:b/>
          <w:bCs/>
          <w:caps/>
          <w:sz w:val="24"/>
          <w:szCs w:val="24"/>
        </w:rPr>
        <w:t xml:space="preserve">Șef lucrări </w:t>
      </w:r>
      <w:r w:rsidRPr="00257868">
        <w:rPr>
          <w:rFonts w:ascii="Times New Roman" w:hAnsi="Times New Roman"/>
          <w:b/>
          <w:bCs/>
          <w:caps/>
          <w:sz w:val="24"/>
          <w:szCs w:val="24"/>
        </w:rPr>
        <w:t>POZIȚIA 6</w:t>
      </w:r>
    </w:p>
    <w:p w14:paraId="39EF93A4" w14:textId="77777777" w:rsidR="0084421B" w:rsidRPr="00F3047D" w:rsidRDefault="0084421B" w:rsidP="00DF29EC">
      <w:pPr>
        <w:spacing w:after="0" w:line="240" w:lineRule="auto"/>
        <w:rPr>
          <w:rFonts w:ascii="Times New Roman" w:hAnsi="Times New Roman"/>
          <w:caps/>
          <w:sz w:val="20"/>
          <w:szCs w:val="20"/>
        </w:rPr>
      </w:pPr>
    </w:p>
    <w:p w14:paraId="36FFCE93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Soluții. Exprimarea concentrației soluțiilor. Soluții standard. Prepararea soluțiilor standard.</w:t>
      </w:r>
    </w:p>
    <w:p w14:paraId="0EA4A8A2" w14:textId="0D2E4621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Evaluarea rezultatelor analitice. Exactitatea și precizia rezultatel</w:t>
      </w:r>
      <w:r w:rsidR="00F3047D">
        <w:rPr>
          <w:rFonts w:ascii="Times New Roman" w:hAnsi="Times New Roman"/>
          <w:sz w:val="24"/>
          <w:szCs w:val="24"/>
        </w:rPr>
        <w:t>or</w:t>
      </w:r>
      <w:r w:rsidRPr="00EC5E60">
        <w:rPr>
          <w:rFonts w:ascii="Times New Roman" w:hAnsi="Times New Roman"/>
          <w:sz w:val="24"/>
          <w:szCs w:val="24"/>
        </w:rPr>
        <w:t xml:space="preserve"> experimentale. Erori determinate: detecția, efectele și corectarea acestora. Erori nedeterminate. Distribuția rezultatelor obținute în determinări repetate. Aplicarea statisticii pe seturi mici de rezultate. Eliminarea rezultatelor nesigure.</w:t>
      </w:r>
    </w:p>
    <w:p w14:paraId="5DE6106A" w14:textId="434509CC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Echilibre acido-bazice în analiză. Interpretarea funcțiilor de aciditate și bazicitate prin teoriile ionică, protonice și electronice. Aciditate (bazicitate) intrinsecă și extrinsecă. Solvenți: clasificare, efectele solvenților.</w:t>
      </w:r>
    </w:p>
    <w:p w14:paraId="5E1089DF" w14:textId="135C2AC5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Calculul pH-ului în soluții apoase de acizi (baze) moleculari și ionici. Importanța echi</w:t>
      </w:r>
      <w:r w:rsidR="00F3047D">
        <w:rPr>
          <w:rFonts w:ascii="Times New Roman" w:hAnsi="Times New Roman"/>
          <w:sz w:val="24"/>
          <w:szCs w:val="24"/>
        </w:rPr>
        <w:t>li</w:t>
      </w:r>
      <w:r w:rsidRPr="00EC5E60">
        <w:rPr>
          <w:rFonts w:ascii="Times New Roman" w:hAnsi="Times New Roman"/>
          <w:sz w:val="24"/>
          <w:szCs w:val="24"/>
        </w:rPr>
        <w:t>brelor acid-bazice în analiza farmaceutică.</w:t>
      </w:r>
    </w:p>
    <w:p w14:paraId="3B862846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 xml:space="preserve">Combinații amfotere. Aplicații la determinări de interes farmaceutic.  </w:t>
      </w:r>
    </w:p>
    <w:p w14:paraId="24C3CD5D" w14:textId="721875B6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Protometria. Curbe de neutralizare. Soluții standard. Indicatori acido-bazici. Dozarea acizilor (bazelor) moleculari mono- și poliprotici, tari și slabi. Dozarea amestecurilor de acizi (baze). Dozarea acizilor (bazelor) ionici. Determinarea unor grupe de su</w:t>
      </w:r>
      <w:r w:rsidR="00F3047D">
        <w:rPr>
          <w:rFonts w:ascii="Times New Roman" w:hAnsi="Times New Roman"/>
          <w:sz w:val="24"/>
          <w:szCs w:val="24"/>
        </w:rPr>
        <w:t>bs</w:t>
      </w:r>
      <w:r w:rsidRPr="00EC5E60">
        <w:rPr>
          <w:rFonts w:ascii="Times New Roman" w:hAnsi="Times New Roman"/>
          <w:sz w:val="24"/>
          <w:szCs w:val="24"/>
        </w:rPr>
        <w:t>tanțe organice de uz farmaceutic cu funcții acido-bazice.</w:t>
      </w:r>
    </w:p>
    <w:p w14:paraId="06AA2AA7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Protometria anhidră. Principii. Fenomene de solvatare și solvoliză în solvenți anhidri. Scări de pH. Aplicații la dozarea substanțelor farmaceutice.</w:t>
      </w:r>
    </w:p>
    <w:p w14:paraId="4932EF2E" w14:textId="2F68B75C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Soluții tampon în analiză. Mecanisme de funcționare. pH-ul soluțiilor tampon. Capacitate de tamponare. Indici de tamponare. Tampoane universale. Importanța soluțiilor tampon în analiza farmaceutică.</w:t>
      </w:r>
    </w:p>
    <w:p w14:paraId="420E9F7D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Echilibre cu formare de compuși greu solubili. Precipitate cristaline și coloidale. Formarea precipitatelor. Solubilitate și produși de solubilitate. Factori care influențează solubilitatea precipitatelor.</w:t>
      </w:r>
    </w:p>
    <w:p w14:paraId="460947D7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 xml:space="preserve">Gravimetria. Principii. Operații în analiza gravimetrică. Metode de dozare a cationilor, anionilor și substanțelor organice. Aplicații în analiza farmaceutică. </w:t>
      </w:r>
    </w:p>
    <w:p w14:paraId="6D15DD3E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Titrimetria prin reacții de precipitare. Argentometria. Principii. Curbe de titrare. Soluții standard. Indicatori. Metode argentometrice. Aplicații în analiza farmaceutică.</w:t>
      </w:r>
    </w:p>
    <w:p w14:paraId="7AD58111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Echilibre de formare a combinațiilor complexe. Tipuri de complecși. Capacitatea de complexare a generatorilor de complecși și a liganzilor. Stabilitatea combinațiilor complexe. Constante de stabilitate. Reactivi organici în analiză.</w:t>
      </w:r>
    </w:p>
    <w:p w14:paraId="6BC55898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Titrimetria prin reacții de complexare. Principii. Clasificarea metodelor. Complexonometria. Curbe de titrare. Soluții standard. Indicatori. Metode argentometrice. Aplicații în analiza farmaceutică.</w:t>
      </w:r>
    </w:p>
    <w:p w14:paraId="0CE49CF5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 xml:space="preserve">Echilibre redox în analiză. Potențialul redox și factorii care îl influențează. Viteza reacțiilor redox. Constante de echilibru redox și importanța lor în analiză. Factorii care influențează echilibrul redox. </w:t>
      </w:r>
    </w:p>
    <w:p w14:paraId="39661F79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Titrimetria prin reacții redox. Principii. Clasificarea metodelor redoxometrice. Curbe de titrare. Soluții standard. Indicatori. Aplicații în analiza farmaceutică.</w:t>
      </w:r>
    </w:p>
    <w:p w14:paraId="5C985C61" w14:textId="5C1CE7E1" w:rsidR="00DF29EC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Metode poten</w:t>
      </w:r>
      <w:r w:rsidR="00F3047D">
        <w:rPr>
          <w:rFonts w:ascii="Times New Roman" w:hAnsi="Times New Roman"/>
          <w:sz w:val="24"/>
          <w:szCs w:val="24"/>
        </w:rPr>
        <w:t>ț</w:t>
      </w:r>
      <w:r w:rsidRPr="00EC5E60">
        <w:rPr>
          <w:rFonts w:ascii="Times New Roman" w:hAnsi="Times New Roman"/>
          <w:sz w:val="24"/>
          <w:szCs w:val="24"/>
        </w:rPr>
        <w:t>iometrice. Principii. Clasificare. Instrumente folosite în analiza potențiometrică. Electrozi de referință și electrozi indicatori. Electrozi reversibili în raport cu ionii metalelor. Electrozi reversibili în raport cu ionii de hidrogen. Electrodul de sticlă.</w:t>
      </w:r>
    </w:p>
    <w:p w14:paraId="664BD162" w14:textId="77777777" w:rsidR="00DF29EC" w:rsidRPr="00DF29EC" w:rsidRDefault="00DF29EC" w:rsidP="00DF29EC">
      <w:pPr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</w:p>
    <w:p w14:paraId="1DD22ED7" w14:textId="5BF87921" w:rsidR="0084421B" w:rsidRPr="00EC5E60" w:rsidRDefault="0084421B" w:rsidP="00DF29EC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Electrodul de chinhidronă. Electrodul de oxid de stibiu. Electrozi reversibili în raport cu anionul unei sări greu solubile. Electrozi metal-complex. Electrozi de speța a III-a. Electrozi de speța a IV-a. Electrozi cu membrană. Clasificare. Coeficientul de selectivitate al electrozilor ion-selectivi. Exemple. Biosenzori potențiometrici.</w:t>
      </w:r>
    </w:p>
    <w:p w14:paraId="235BA554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Determinări potențiometrice directe. Determinarea potențiometrică a pH-ului în celule fără joncțiune. Determinarea potențiometrică a pH-ului în celule cu joncțiune. Definiția operatorie a pH-ului.</w:t>
      </w:r>
    </w:p>
    <w:p w14:paraId="0DE25C56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 xml:space="preserve">Metode potențiometrice indirecte. Curbe intensitate-potențial. Titrarea potențiometrică. Titrarea potențiometrică la curent nul. Determinarea punctului de echivalență. Aplicații farmaceutice ale titrării potențiometrice. </w:t>
      </w:r>
    </w:p>
    <w:p w14:paraId="3FFD1A65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Spectrometria atomică de emisie și absorbție. Principii. Aparatură. Aplicații în analiza farmaceutică.</w:t>
      </w:r>
    </w:p>
    <w:p w14:paraId="6BEA75A5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Spectrometria moleculară de absorbție. Principii. Aparatură. Aplicații farmaceutice.</w:t>
      </w:r>
    </w:p>
    <w:p w14:paraId="1CB03CCB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Spectrometria moleculară de emisie. Principii. Aparatură. Aplicații în analiza farmaceutică.</w:t>
      </w:r>
    </w:p>
    <w:p w14:paraId="30190958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 xml:space="preserve"> Spectrometria de masă. Principii. Aparatură. Aplicații în analiza farmaceutică.</w:t>
      </w:r>
    </w:p>
    <w:p w14:paraId="4B884764" w14:textId="5D9548CB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Analiza termică. Principii. Clasificarea metodelor de analiză termică. Termogravimetria. Gravimetria termică derivată. Analiza termică diferențială. Calorimetria dinamică diferențială. Factorii care influențează alura curbelor termice. Aparatura. Aplicații în analiza farmaceutică.</w:t>
      </w:r>
    </w:p>
    <w:p w14:paraId="462799AD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Metode de extracție. Aplicații în analiza farmaceutică.</w:t>
      </w:r>
    </w:p>
    <w:p w14:paraId="783F4D39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Metode cromatografice. Principii. Criterii de clasificare. Echilibrul de distribuție în cromatografie. Cromatograma – caracteristici. Etapele procesului cromatografic. Ecuația fundamentală a cromatografiei. Izoterme de distribuție. Teorii cu privire la mecanismul separării cromatografice: teoria talerelor, teoria cinetic</w:t>
      </w:r>
      <w:r>
        <w:rPr>
          <w:rFonts w:ascii="Times New Roman" w:hAnsi="Times New Roman"/>
          <w:sz w:val="24"/>
          <w:szCs w:val="24"/>
        </w:rPr>
        <w:t>ă</w:t>
      </w:r>
      <w:r w:rsidRPr="00EC5E60">
        <w:rPr>
          <w:rFonts w:ascii="Times New Roman" w:hAnsi="Times New Roman"/>
          <w:sz w:val="24"/>
          <w:szCs w:val="24"/>
        </w:rPr>
        <w:t>. Parametri care caracterizează eficiența. Analiza cromatografică calitativă. Analiza cromatografică cantitativă</w:t>
      </w:r>
    </w:p>
    <w:p w14:paraId="2F827992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Cromatografia de gaze. Principii. Faze staționare. Faze mobile. Aparatură. Aplicații în analiza farmaceutică.</w:t>
      </w:r>
    </w:p>
    <w:p w14:paraId="3B7EA53D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Cromatografia de lichide plană. Mecanisme. Faze staționare. Faze mobile. Alegerea sistemului cromatografic. Etapele analizei în cromatografia plană. Aparatură. Aplicații în analiza farmaceutică.</w:t>
      </w:r>
    </w:p>
    <w:p w14:paraId="0495EEC7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 xml:space="preserve">Cromatografia de lichide pe coloană. Mecanisme. Faze staționare și faze mobile în cromatografia de adsorbție și de repartiție. Alegerea sistemului cromatografic. Aparatură. </w:t>
      </w:r>
    </w:p>
    <w:p w14:paraId="06F60510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 xml:space="preserve">Cromatografia prin schimb ionic. Structura și proprietățile fizico-chimice ale schimbătorilor de ioni. Teorii privind schimbul ionic. Aplicații în analiza farmaceutică. </w:t>
      </w:r>
    </w:p>
    <w:p w14:paraId="272CF634" w14:textId="77777777" w:rsidR="0084421B" w:rsidRPr="00EC5E60" w:rsidRDefault="0084421B" w:rsidP="008442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Electroforeza capilară. Principii. Clasificarea metodelor. Aparatură. Aplicații în analiza farmaceutică.</w:t>
      </w:r>
    </w:p>
    <w:p w14:paraId="02EDF5FF" w14:textId="77777777" w:rsidR="0084421B" w:rsidRPr="00DF29EC" w:rsidRDefault="0084421B" w:rsidP="00DF29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02E796" w14:textId="77777777" w:rsidR="0084421B" w:rsidRDefault="0084421B" w:rsidP="008442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07B6F49" w14:textId="77777777" w:rsidR="0084421B" w:rsidRPr="00DF29EC" w:rsidRDefault="0084421B" w:rsidP="00DF29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4139F0" w14:textId="6E2DFCE1" w:rsidR="0084421B" w:rsidRPr="00DF29EC" w:rsidRDefault="0084421B" w:rsidP="0084421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29EC">
        <w:rPr>
          <w:rFonts w:ascii="Times New Roman" w:hAnsi="Times New Roman"/>
          <w:b/>
          <w:bCs/>
          <w:sz w:val="24"/>
          <w:szCs w:val="24"/>
        </w:rPr>
        <w:t>BIBLIOGRAFIE</w:t>
      </w:r>
      <w:r w:rsidR="00DF29EC" w:rsidRPr="00DF29EC">
        <w:rPr>
          <w:rFonts w:ascii="Times New Roman" w:hAnsi="Times New Roman"/>
          <w:b/>
          <w:bCs/>
          <w:sz w:val="24"/>
          <w:szCs w:val="24"/>
        </w:rPr>
        <w:t>:</w:t>
      </w:r>
    </w:p>
    <w:p w14:paraId="5E585E76" w14:textId="41F89B47" w:rsidR="0084421B" w:rsidRDefault="0084421B" w:rsidP="004D56F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 xml:space="preserve">Crina-Maria Monciu, Alexandra Neagu, Angela Nedelcu, Corina Aramă, </w:t>
      </w:r>
      <w:r w:rsidRPr="00EC5E60">
        <w:rPr>
          <w:rFonts w:ascii="Times New Roman" w:hAnsi="Times New Roman"/>
          <w:b/>
          <w:bCs/>
          <w:sz w:val="24"/>
          <w:szCs w:val="24"/>
        </w:rPr>
        <w:t>Analiză chimică în controlul medicamentului</w:t>
      </w:r>
      <w:r w:rsidRPr="00EC5E60">
        <w:rPr>
          <w:rFonts w:ascii="Times New Roman" w:hAnsi="Times New Roman"/>
          <w:sz w:val="24"/>
          <w:szCs w:val="24"/>
        </w:rPr>
        <w:t>, Editura Medicală, București, 2005</w:t>
      </w:r>
    </w:p>
    <w:p w14:paraId="7F2CD07F" w14:textId="77777777" w:rsidR="0084421B" w:rsidRPr="00EC5E60" w:rsidRDefault="0084421B" w:rsidP="004D56F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Corina Cristina Aramă, </w:t>
      </w:r>
      <w:r w:rsidRPr="00EC5E60">
        <w:rPr>
          <w:rFonts w:ascii="Times New Roman" w:hAnsi="Times New Roman"/>
          <w:b/>
          <w:bCs/>
          <w:sz w:val="24"/>
          <w:szCs w:val="24"/>
        </w:rPr>
        <w:t>Metode de separare în analiza farmaceutică. Cromatografia de lichide – o introducere</w:t>
      </w:r>
      <w:r>
        <w:rPr>
          <w:rFonts w:ascii="Times New Roman" w:hAnsi="Times New Roman"/>
          <w:sz w:val="24"/>
          <w:szCs w:val="24"/>
        </w:rPr>
        <w:t>, Editura Universitară Carol Davila, București, 2015</w:t>
      </w:r>
    </w:p>
    <w:p w14:paraId="75478D19" w14:textId="7969CE5A" w:rsidR="0084421B" w:rsidRPr="00EC5E60" w:rsidRDefault="0084421B" w:rsidP="004D56F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Ioana-Clementina Constantinescu</w:t>
      </w:r>
      <w:r w:rsidRPr="00EC5E60">
        <w:rPr>
          <w:rFonts w:ascii="Times New Roman" w:hAnsi="Times New Roman"/>
          <w:b/>
          <w:bCs/>
          <w:sz w:val="24"/>
          <w:szCs w:val="24"/>
        </w:rPr>
        <w:t>, Poten</w:t>
      </w:r>
      <w:r w:rsidR="00F3047D">
        <w:rPr>
          <w:rFonts w:ascii="Times New Roman" w:hAnsi="Times New Roman"/>
          <w:b/>
          <w:bCs/>
          <w:sz w:val="24"/>
          <w:szCs w:val="24"/>
        </w:rPr>
        <w:t>ț</w:t>
      </w:r>
      <w:r w:rsidRPr="00EC5E60">
        <w:rPr>
          <w:rFonts w:ascii="Times New Roman" w:hAnsi="Times New Roman"/>
          <w:b/>
          <w:bCs/>
          <w:sz w:val="24"/>
          <w:szCs w:val="24"/>
        </w:rPr>
        <w:t>iometria. Aplica</w:t>
      </w:r>
      <w:r w:rsidR="00F3047D">
        <w:rPr>
          <w:rFonts w:ascii="Times New Roman" w:hAnsi="Times New Roman"/>
          <w:b/>
          <w:bCs/>
          <w:sz w:val="24"/>
          <w:szCs w:val="24"/>
        </w:rPr>
        <w:t>ț</w:t>
      </w:r>
      <w:r w:rsidRPr="00EC5E60">
        <w:rPr>
          <w:rFonts w:ascii="Times New Roman" w:hAnsi="Times New Roman"/>
          <w:b/>
          <w:bCs/>
          <w:sz w:val="24"/>
          <w:szCs w:val="24"/>
        </w:rPr>
        <w:t>ii ale poten</w:t>
      </w:r>
      <w:r w:rsidR="00F3047D">
        <w:rPr>
          <w:rFonts w:ascii="Times New Roman" w:hAnsi="Times New Roman"/>
          <w:b/>
          <w:bCs/>
          <w:sz w:val="24"/>
          <w:szCs w:val="24"/>
        </w:rPr>
        <w:t>ț</w:t>
      </w:r>
      <w:r w:rsidRPr="00EC5E60">
        <w:rPr>
          <w:rFonts w:ascii="Times New Roman" w:hAnsi="Times New Roman"/>
          <w:b/>
          <w:bCs/>
          <w:sz w:val="24"/>
          <w:szCs w:val="24"/>
        </w:rPr>
        <w:t>iometriei în analiza farmaceutică</w:t>
      </w:r>
      <w:r w:rsidRPr="00EC5E60">
        <w:rPr>
          <w:rFonts w:ascii="Times New Roman" w:hAnsi="Times New Roman"/>
          <w:sz w:val="24"/>
          <w:szCs w:val="24"/>
        </w:rPr>
        <w:t>, Editura</w:t>
      </w:r>
      <w:r w:rsidR="004D56FF">
        <w:rPr>
          <w:rFonts w:ascii="Times New Roman" w:hAnsi="Times New Roman"/>
          <w:sz w:val="24"/>
          <w:szCs w:val="24"/>
        </w:rPr>
        <w:t xml:space="preserve"> </w:t>
      </w:r>
      <w:r w:rsidRPr="00EC5E60">
        <w:rPr>
          <w:rFonts w:ascii="Times New Roman" w:hAnsi="Times New Roman"/>
          <w:sz w:val="24"/>
          <w:szCs w:val="24"/>
        </w:rPr>
        <w:t>Tehnoplast Company SRL, București, 2009</w:t>
      </w:r>
    </w:p>
    <w:p w14:paraId="54FCE6C0" w14:textId="77777777" w:rsidR="0084421B" w:rsidRPr="00EC5E60" w:rsidRDefault="0084421B" w:rsidP="004D56F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>***</w:t>
      </w:r>
      <w:r w:rsidRPr="00EC5E60">
        <w:rPr>
          <w:rFonts w:ascii="Times New Roman" w:hAnsi="Times New Roman"/>
          <w:sz w:val="24"/>
          <w:szCs w:val="24"/>
        </w:rPr>
        <w:tab/>
      </w:r>
      <w:r w:rsidRPr="00EC5E60">
        <w:rPr>
          <w:rFonts w:ascii="Times New Roman" w:hAnsi="Times New Roman"/>
          <w:b/>
          <w:bCs/>
          <w:sz w:val="24"/>
          <w:szCs w:val="24"/>
        </w:rPr>
        <w:t>Pharmacopée Européenne</w:t>
      </w:r>
      <w:r w:rsidRPr="00EC5E60">
        <w:rPr>
          <w:rFonts w:ascii="Times New Roman" w:hAnsi="Times New Roman"/>
          <w:sz w:val="24"/>
          <w:szCs w:val="24"/>
        </w:rPr>
        <w:t xml:space="preserve">, Direction de la Qualité du Médicament du Conseil de l’Europe (DEQM), </w:t>
      </w:r>
      <w:r>
        <w:rPr>
          <w:rFonts w:ascii="Times New Roman" w:hAnsi="Times New Roman"/>
          <w:sz w:val="24"/>
          <w:szCs w:val="24"/>
        </w:rPr>
        <w:t>8</w:t>
      </w:r>
      <w:r w:rsidRPr="00EC5E60">
        <w:rPr>
          <w:rFonts w:ascii="Times New Roman" w:hAnsi="Times New Roman"/>
          <w:sz w:val="24"/>
          <w:szCs w:val="24"/>
          <w:vertAlign w:val="superscript"/>
        </w:rPr>
        <w:t>e</w:t>
      </w:r>
      <w:r w:rsidRPr="00EC5E60">
        <w:rPr>
          <w:rFonts w:ascii="Times New Roman" w:hAnsi="Times New Roman"/>
          <w:sz w:val="24"/>
          <w:szCs w:val="24"/>
        </w:rPr>
        <w:t xml:space="preserve"> Edition, Conseil de l’Europe</w:t>
      </w:r>
      <w:r>
        <w:rPr>
          <w:rFonts w:ascii="Times New Roman" w:hAnsi="Times New Roman"/>
          <w:sz w:val="24"/>
          <w:szCs w:val="24"/>
        </w:rPr>
        <w:t>, Strasbourg, Cedex, France, 2014</w:t>
      </w:r>
    </w:p>
    <w:p w14:paraId="74262CFF" w14:textId="6B1E518C" w:rsidR="00B5770D" w:rsidRPr="00B5770D" w:rsidRDefault="00B5770D" w:rsidP="004D56FF">
      <w:pPr>
        <w:numPr>
          <w:ilvl w:val="0"/>
          <w:numId w:val="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5770D">
        <w:rPr>
          <w:rFonts w:ascii="Times New Roman" w:hAnsi="Times New Roman"/>
          <w:bCs/>
          <w:sz w:val="24"/>
          <w:szCs w:val="24"/>
        </w:rPr>
        <w:t xml:space="preserve">Skoog D. A., West D.M., Holler J.F., Crouch S.R., </w:t>
      </w:r>
      <w:r w:rsidRPr="00B5770D">
        <w:rPr>
          <w:rFonts w:ascii="Times New Roman" w:hAnsi="Times New Roman"/>
          <w:b/>
          <w:sz w:val="24"/>
          <w:szCs w:val="24"/>
        </w:rPr>
        <w:t>Fundamentals of Analytical Chemistry</w:t>
      </w:r>
      <w:r w:rsidRPr="00B5770D">
        <w:rPr>
          <w:rFonts w:ascii="Times New Roman" w:hAnsi="Times New Roman"/>
          <w:bCs/>
          <w:sz w:val="24"/>
          <w:szCs w:val="24"/>
        </w:rPr>
        <w:t>, 10</w:t>
      </w:r>
      <w:r w:rsidRPr="00B5770D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B5770D">
        <w:rPr>
          <w:rFonts w:ascii="Times New Roman" w:hAnsi="Times New Roman"/>
          <w:bCs/>
          <w:sz w:val="24"/>
          <w:szCs w:val="24"/>
        </w:rPr>
        <w:t xml:space="preserve"> Edition, Cengage Learning, Brooks/Cole, USA, 2021</w:t>
      </w:r>
    </w:p>
    <w:p w14:paraId="32DE78A6" w14:textId="77777777" w:rsidR="0084421B" w:rsidRPr="00EC5E60" w:rsidRDefault="0084421B" w:rsidP="004D56F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 xml:space="preserve">I. Gh. Tănase, </w:t>
      </w:r>
      <w:r w:rsidRPr="00EC5E60">
        <w:rPr>
          <w:rFonts w:ascii="Times New Roman" w:hAnsi="Times New Roman"/>
          <w:b/>
          <w:bCs/>
          <w:sz w:val="24"/>
          <w:szCs w:val="24"/>
        </w:rPr>
        <w:t>Analiză instrumentală, partea I și a II-a</w:t>
      </w:r>
      <w:r w:rsidRPr="00EC5E60">
        <w:rPr>
          <w:rFonts w:ascii="Times New Roman" w:hAnsi="Times New Roman"/>
          <w:sz w:val="24"/>
          <w:szCs w:val="24"/>
        </w:rPr>
        <w:t>, Ed. Universității din București, București, 2007</w:t>
      </w:r>
    </w:p>
    <w:p w14:paraId="1BC73779" w14:textId="77777777" w:rsidR="0084421B" w:rsidRPr="00EC5E60" w:rsidRDefault="0084421B" w:rsidP="004D56F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 xml:space="preserve">V. David, A. Medvedovici, </w:t>
      </w:r>
      <w:r w:rsidRPr="00EC5E60">
        <w:rPr>
          <w:rFonts w:ascii="Times New Roman" w:hAnsi="Times New Roman"/>
          <w:b/>
          <w:bCs/>
          <w:sz w:val="24"/>
          <w:szCs w:val="24"/>
        </w:rPr>
        <w:t>Metode de separare și analiză cromatografică</w:t>
      </w:r>
      <w:r w:rsidRPr="00EC5E60">
        <w:rPr>
          <w:rFonts w:ascii="Times New Roman" w:hAnsi="Times New Roman"/>
          <w:sz w:val="24"/>
          <w:szCs w:val="24"/>
        </w:rPr>
        <w:t>, ediția a II-a, Ed. Universității din București, București, 2008</w:t>
      </w:r>
    </w:p>
    <w:p w14:paraId="5DB8F7F7" w14:textId="20F34BBC" w:rsidR="00B5770D" w:rsidRPr="00B5770D" w:rsidRDefault="00B5770D" w:rsidP="004D56F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770D">
        <w:rPr>
          <w:rFonts w:ascii="Times New Roman" w:hAnsi="Times New Roman"/>
          <w:bCs/>
          <w:kern w:val="36"/>
          <w:sz w:val="24"/>
          <w:szCs w:val="24"/>
          <w:lang w:eastAsia="en-GB"/>
        </w:rPr>
        <w:t>Miguel Valcárcel,</w:t>
      </w:r>
      <w:r w:rsidR="004D56FF">
        <w:rPr>
          <w:rFonts w:ascii="Times New Roman" w:hAnsi="Times New Roman"/>
          <w:bCs/>
          <w:kern w:val="36"/>
          <w:sz w:val="24"/>
          <w:szCs w:val="24"/>
          <w:lang w:eastAsia="en-GB"/>
        </w:rPr>
        <w:t xml:space="preserve"> </w:t>
      </w:r>
      <w:r w:rsidRPr="00B5770D">
        <w:rPr>
          <w:rFonts w:ascii="Times New Roman" w:hAnsi="Times New Roman"/>
          <w:bCs/>
          <w:kern w:val="36"/>
          <w:sz w:val="24"/>
          <w:szCs w:val="24"/>
          <w:lang w:eastAsia="en-GB"/>
        </w:rPr>
        <w:t>Robert Kellner,</w:t>
      </w:r>
      <w:r w:rsidR="004D56FF">
        <w:rPr>
          <w:rFonts w:ascii="Times New Roman" w:hAnsi="Times New Roman"/>
          <w:bCs/>
          <w:kern w:val="36"/>
          <w:sz w:val="24"/>
          <w:szCs w:val="24"/>
          <w:lang w:eastAsia="en-GB"/>
        </w:rPr>
        <w:t xml:space="preserve"> </w:t>
      </w:r>
      <w:r w:rsidRPr="00B5770D">
        <w:rPr>
          <w:rFonts w:ascii="Times New Roman" w:hAnsi="Times New Roman"/>
          <w:bCs/>
          <w:kern w:val="36"/>
          <w:sz w:val="24"/>
          <w:szCs w:val="24"/>
          <w:lang w:eastAsia="en-GB"/>
        </w:rPr>
        <w:t>Jean-Michel Mermet,</w:t>
      </w:r>
      <w:r w:rsidR="004D56FF">
        <w:rPr>
          <w:rFonts w:ascii="Times New Roman" w:hAnsi="Times New Roman"/>
          <w:bCs/>
          <w:kern w:val="36"/>
          <w:sz w:val="24"/>
          <w:szCs w:val="24"/>
          <w:lang w:eastAsia="en-GB"/>
        </w:rPr>
        <w:t xml:space="preserve"> </w:t>
      </w:r>
      <w:r w:rsidRPr="00B5770D">
        <w:rPr>
          <w:rFonts w:ascii="Times New Roman" w:hAnsi="Times New Roman"/>
          <w:bCs/>
          <w:kern w:val="36"/>
          <w:sz w:val="24"/>
          <w:szCs w:val="24"/>
          <w:lang w:eastAsia="en-GB"/>
        </w:rPr>
        <w:t>Matthias Otto,</w:t>
      </w:r>
      <w:r w:rsidR="004D56FF">
        <w:rPr>
          <w:rFonts w:ascii="Times New Roman" w:hAnsi="Times New Roman"/>
          <w:bCs/>
          <w:kern w:val="36"/>
          <w:sz w:val="24"/>
          <w:szCs w:val="24"/>
          <w:lang w:eastAsia="en-GB"/>
        </w:rPr>
        <w:t xml:space="preserve"> </w:t>
      </w:r>
      <w:r w:rsidRPr="00B5770D">
        <w:rPr>
          <w:rFonts w:ascii="Times New Roman" w:hAnsi="Times New Roman"/>
          <w:bCs/>
          <w:kern w:val="36"/>
          <w:sz w:val="24"/>
          <w:szCs w:val="24"/>
          <w:lang w:eastAsia="en-GB"/>
        </w:rPr>
        <w:t xml:space="preserve">H. M. Widmer, (Eds.): </w:t>
      </w:r>
      <w:r w:rsidRPr="00B5770D">
        <w:rPr>
          <w:rFonts w:ascii="Times New Roman" w:hAnsi="Times New Roman"/>
          <w:b/>
          <w:kern w:val="36"/>
          <w:sz w:val="24"/>
          <w:szCs w:val="24"/>
          <w:lang w:eastAsia="en-GB"/>
        </w:rPr>
        <w:t>Analytical Chemistry. A Modern Approach to Analytical Science</w:t>
      </w:r>
      <w:r w:rsidRPr="00B5770D">
        <w:rPr>
          <w:rFonts w:ascii="Times New Roman" w:hAnsi="Times New Roman"/>
          <w:bCs/>
          <w:kern w:val="36"/>
          <w:sz w:val="24"/>
          <w:szCs w:val="24"/>
          <w:lang w:eastAsia="en-GB"/>
        </w:rPr>
        <w:t>, 3</w:t>
      </w:r>
      <w:r w:rsidRPr="00B5770D">
        <w:rPr>
          <w:rFonts w:ascii="Times New Roman" w:hAnsi="Times New Roman"/>
          <w:bCs/>
          <w:kern w:val="36"/>
          <w:sz w:val="24"/>
          <w:szCs w:val="24"/>
          <w:vertAlign w:val="superscript"/>
          <w:lang w:eastAsia="en-GB"/>
        </w:rPr>
        <w:t>rd</w:t>
      </w:r>
      <w:r w:rsidRPr="00B5770D">
        <w:rPr>
          <w:rFonts w:ascii="Times New Roman" w:hAnsi="Times New Roman"/>
          <w:bCs/>
          <w:kern w:val="36"/>
          <w:sz w:val="24"/>
          <w:szCs w:val="24"/>
          <w:lang w:eastAsia="en-GB"/>
        </w:rPr>
        <w:t xml:space="preserve"> Edition, Wiley 2023</w:t>
      </w:r>
    </w:p>
    <w:p w14:paraId="739E3623" w14:textId="30AD3C4C" w:rsidR="0084421B" w:rsidRPr="00EC5E60" w:rsidRDefault="0084421B" w:rsidP="004D56F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 xml:space="preserve">G. D. Christian, </w:t>
      </w:r>
      <w:r w:rsidRPr="00EC5E60">
        <w:rPr>
          <w:rFonts w:ascii="Times New Roman" w:hAnsi="Times New Roman"/>
          <w:b/>
          <w:bCs/>
          <w:sz w:val="24"/>
          <w:szCs w:val="24"/>
        </w:rPr>
        <w:t>Analytical Chemistry</w:t>
      </w:r>
      <w:r>
        <w:rPr>
          <w:rFonts w:ascii="Times New Roman" w:hAnsi="Times New Roman"/>
          <w:sz w:val="24"/>
          <w:szCs w:val="24"/>
        </w:rPr>
        <w:t>, John Wiley &amp; Sons, Inc. 2014</w:t>
      </w:r>
    </w:p>
    <w:p w14:paraId="1B6B49D0" w14:textId="186A48A7" w:rsidR="00272F7E" w:rsidRPr="00F41297" w:rsidRDefault="0084421B" w:rsidP="00F3047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C5E60">
        <w:rPr>
          <w:rFonts w:ascii="Times New Roman" w:hAnsi="Times New Roman"/>
          <w:sz w:val="24"/>
          <w:szCs w:val="24"/>
        </w:rPr>
        <w:t xml:space="preserve">F. Rouessac, Annick Rouessac, </w:t>
      </w:r>
      <w:r w:rsidRPr="00EC5E60">
        <w:rPr>
          <w:rFonts w:ascii="Times New Roman" w:hAnsi="Times New Roman"/>
          <w:b/>
          <w:bCs/>
          <w:sz w:val="24"/>
          <w:szCs w:val="24"/>
        </w:rPr>
        <w:t>Chemical Analysis. Modern Instrumentation. Methods and Techniques</w:t>
      </w:r>
      <w:r w:rsidRPr="00EC5E60">
        <w:rPr>
          <w:rFonts w:ascii="Times New Roman" w:hAnsi="Times New Roman"/>
          <w:sz w:val="24"/>
          <w:szCs w:val="24"/>
        </w:rPr>
        <w:t>, John Wile</w:t>
      </w:r>
      <w:r>
        <w:rPr>
          <w:rFonts w:ascii="Times New Roman" w:hAnsi="Times New Roman"/>
          <w:sz w:val="24"/>
          <w:szCs w:val="24"/>
        </w:rPr>
        <w:t>y &amp; Sons, LTD, 2007</w:t>
      </w:r>
    </w:p>
    <w:sectPr w:rsidR="00272F7E" w:rsidRPr="00F41297" w:rsidSect="00DF29EC">
      <w:headerReference w:type="default" r:id="rId7"/>
      <w:footerReference w:type="default" r:id="rId8"/>
      <w:pgSz w:w="11906" w:h="16838"/>
      <w:pgMar w:top="851" w:right="851" w:bottom="851" w:left="108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A910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696F6D8F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C375" w14:textId="77777777" w:rsidR="0082408C" w:rsidRPr="0082408C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 w:rsidRPr="0082408C">
      <w:rPr>
        <w:rFonts w:ascii="Times New Roman" w:hAnsi="Times New Roman"/>
        <w:i/>
        <w:sz w:val="18"/>
        <w:szCs w:val="18"/>
      </w:rPr>
      <w:t>UMFCD</w:t>
    </w:r>
    <w:r w:rsidRPr="0082408C">
      <w:rPr>
        <w:rFonts w:ascii="Times New Roman" w:hAnsi="Times New Roman"/>
        <w:b/>
        <w:i/>
        <w:sz w:val="18"/>
        <w:szCs w:val="18"/>
      </w:rPr>
      <w:t>:</w:t>
    </w:r>
    <w:r w:rsidRPr="0082408C">
      <w:rPr>
        <w:rFonts w:ascii="Times New Roman" w:hAnsi="Times New Roman"/>
        <w:i/>
        <w:sz w:val="18"/>
        <w:szCs w:val="18"/>
        <w:shd w:val="clear" w:color="auto" w:fill="FAFAFA"/>
      </w:rPr>
      <w:t xml:space="preserve"> </w:t>
    </w:r>
    <w:r w:rsidR="0082408C" w:rsidRPr="0082408C">
      <w:rPr>
        <w:rFonts w:ascii="Times New Roman" w:hAnsi="Times New Roman"/>
        <w:i/>
        <w:sz w:val="18"/>
        <w:szCs w:val="18"/>
        <w:shd w:val="clear" w:color="auto" w:fill="FAFAFA"/>
      </w:rPr>
      <w:t>s</w:t>
    </w:r>
    <w:r w:rsidR="00645402">
      <w:rPr>
        <w:rFonts w:ascii="Times New Roman" w:eastAsia="Times New Roman" w:hAnsi="Times New Roman"/>
        <w:i/>
        <w:sz w:val="18"/>
        <w:szCs w:val="18"/>
      </w:rPr>
      <w:t>tr. Dionisie Lupu 37</w:t>
    </w:r>
    <w:r w:rsidR="00645402" w:rsidRPr="0082408C">
      <w:rPr>
        <w:rFonts w:ascii="Times New Roman" w:eastAsia="Times New Roman" w:hAnsi="Times New Roman"/>
        <w:i/>
        <w:sz w:val="18"/>
        <w:szCs w:val="18"/>
      </w:rPr>
      <w:t>,</w:t>
    </w:r>
    <w:r w:rsidR="00645402">
      <w:rPr>
        <w:rFonts w:ascii="Times New Roman" w:eastAsia="Times New Roman" w:hAnsi="Times New Roman"/>
        <w:i/>
        <w:sz w:val="18"/>
        <w:szCs w:val="18"/>
      </w:rPr>
      <w:t xml:space="preserve"> </w:t>
    </w:r>
    <w:r w:rsidR="00645402" w:rsidRPr="0082408C">
      <w:rPr>
        <w:rFonts w:ascii="Times New Roman" w:eastAsia="Times New Roman" w:hAnsi="Times New Roman"/>
        <w:i/>
        <w:sz w:val="18"/>
        <w:szCs w:val="18"/>
      </w:rPr>
      <w:t>sector 2</w:t>
    </w:r>
    <w:r w:rsidR="00645402">
      <w:rPr>
        <w:rFonts w:ascii="Times New Roman" w:eastAsia="Times New Roman" w:hAnsi="Times New Roman"/>
        <w:i/>
        <w:sz w:val="18"/>
        <w:szCs w:val="18"/>
      </w:rPr>
      <w:t>, București,</w:t>
    </w:r>
    <w:r w:rsidR="0082408C" w:rsidRPr="0082408C">
      <w:rPr>
        <w:rFonts w:ascii="Times New Roman" w:eastAsia="Times New Roman" w:hAnsi="Times New Roman"/>
        <w:i/>
        <w:sz w:val="18"/>
        <w:szCs w:val="18"/>
      </w:rPr>
      <w:t xml:space="preserve"> România,</w:t>
    </w:r>
    <w:r w:rsidR="0082408C" w:rsidRPr="0082408C">
      <w:rPr>
        <w:rFonts w:ascii="Times New Roman" w:hAnsi="Times New Roman"/>
        <w:i/>
        <w:sz w:val="18"/>
        <w:szCs w:val="18"/>
      </w:rPr>
      <w:t xml:space="preserve"> </w:t>
    </w:r>
  </w:p>
  <w:p w14:paraId="18AF244A" w14:textId="77777777" w:rsidR="00416C6C" w:rsidRPr="0082408C" w:rsidRDefault="00645402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c</w:t>
    </w:r>
    <w:r w:rsidR="00416C6C" w:rsidRPr="0082408C">
      <w:rPr>
        <w:rFonts w:ascii="Times New Roman" w:hAnsi="Times New Roman"/>
        <w:i/>
        <w:sz w:val="18"/>
        <w:szCs w:val="18"/>
      </w:rPr>
      <w:t>od fiscal: 4192910</w:t>
    </w:r>
    <w:r w:rsidR="0082408C" w:rsidRPr="0082408C">
      <w:rPr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c</w:t>
    </w:r>
    <w:r w:rsidR="00416C6C" w:rsidRPr="0082408C">
      <w:rPr>
        <w:rFonts w:ascii="Times New Roman" w:hAnsi="Times New Roman"/>
        <w:i/>
        <w:sz w:val="18"/>
        <w:szCs w:val="18"/>
      </w:rPr>
      <w:t>ont: RO57TREZ70220F330500XXXX</w:t>
    </w:r>
    <w:r w:rsidR="00416C6C" w:rsidRPr="0082408C">
      <w:rPr>
        <w:rStyle w:val="apple-converted-space"/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b</w:t>
    </w:r>
    <w:r w:rsidR="00416C6C" w:rsidRPr="0082408C">
      <w:rPr>
        <w:rFonts w:ascii="Times New Roman" w:hAnsi="Times New Roman"/>
        <w:i/>
        <w:sz w:val="18"/>
        <w:szCs w:val="18"/>
      </w:rPr>
      <w:t>anca: T</w:t>
    </w:r>
    <w:r>
      <w:rPr>
        <w:rFonts w:ascii="Times New Roman" w:hAnsi="Times New Roman"/>
        <w:i/>
        <w:sz w:val="18"/>
        <w:szCs w:val="18"/>
      </w:rPr>
      <w:t>rezorerie,</w:t>
    </w:r>
    <w:r w:rsidR="00416C6C" w:rsidRPr="0082408C">
      <w:rPr>
        <w:rFonts w:ascii="Times New Roman" w:hAnsi="Times New Roman"/>
        <w:i/>
        <w:sz w:val="18"/>
        <w:szCs w:val="18"/>
      </w:rPr>
      <w:t xml:space="preserve"> sect</w:t>
    </w:r>
    <w:r>
      <w:rPr>
        <w:rFonts w:ascii="Times New Roman" w:hAnsi="Times New Roman"/>
        <w:i/>
        <w:sz w:val="18"/>
        <w:szCs w:val="18"/>
      </w:rPr>
      <w:t>or</w:t>
    </w:r>
    <w:r w:rsidR="00416C6C" w:rsidRPr="0082408C">
      <w:rPr>
        <w:rFonts w:ascii="Times New Roman" w:hAnsi="Times New Roman"/>
        <w:i/>
        <w:sz w:val="18"/>
        <w:szCs w:val="18"/>
      </w:rPr>
      <w:t xml:space="preserve"> 2</w:t>
    </w:r>
  </w:p>
  <w:p w14:paraId="120FFAFC" w14:textId="77777777" w:rsidR="00416C6C" w:rsidRPr="0082408C" w:rsidRDefault="00645402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t</w:t>
    </w:r>
    <w:r w:rsidR="00416C6C" w:rsidRPr="0082408C">
      <w:rPr>
        <w:rFonts w:ascii="Times New Roman" w:hAnsi="Times New Roman"/>
        <w:i/>
        <w:sz w:val="18"/>
        <w:szCs w:val="18"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76C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9F1C7BE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974B" w14:textId="77777777" w:rsidR="00416C6C" w:rsidRPr="00D52814" w:rsidRDefault="00E5638B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eastAsia="ro-RO"/>
      </w:rPr>
      <w:drawing>
        <wp:inline distT="0" distB="0" distL="0" distR="0" wp14:anchorId="17E820DB" wp14:editId="3F413AEA">
          <wp:extent cx="6119495" cy="96393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_farmacie_discip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96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905"/>
    <w:multiLevelType w:val="hybridMultilevel"/>
    <w:tmpl w:val="10A86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A4126"/>
    <w:multiLevelType w:val="hybridMultilevel"/>
    <w:tmpl w:val="4934C56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000E4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C2845"/>
    <w:multiLevelType w:val="hybridMultilevel"/>
    <w:tmpl w:val="0F86F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20C0D"/>
    <w:rsid w:val="000524E8"/>
    <w:rsid w:val="00060B62"/>
    <w:rsid w:val="000751E5"/>
    <w:rsid w:val="000A0AFC"/>
    <w:rsid w:val="000A4C2C"/>
    <w:rsid w:val="000B443A"/>
    <w:rsid w:val="000F14B5"/>
    <w:rsid w:val="000F51DD"/>
    <w:rsid w:val="001021FA"/>
    <w:rsid w:val="001525EC"/>
    <w:rsid w:val="00157134"/>
    <w:rsid w:val="001929BD"/>
    <w:rsid w:val="001A038C"/>
    <w:rsid w:val="002168B2"/>
    <w:rsid w:val="00236A38"/>
    <w:rsid w:val="00257831"/>
    <w:rsid w:val="00257868"/>
    <w:rsid w:val="00272F7E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1F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56FF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5F62CE"/>
    <w:rsid w:val="00602880"/>
    <w:rsid w:val="00617AF1"/>
    <w:rsid w:val="00617E2C"/>
    <w:rsid w:val="00637390"/>
    <w:rsid w:val="00637A86"/>
    <w:rsid w:val="00645402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5DD7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408C"/>
    <w:rsid w:val="008278F6"/>
    <w:rsid w:val="00832A12"/>
    <w:rsid w:val="00834BC4"/>
    <w:rsid w:val="0084421B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8F6B68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70D"/>
    <w:rsid w:val="00B57ACC"/>
    <w:rsid w:val="00B62326"/>
    <w:rsid w:val="00B62D5F"/>
    <w:rsid w:val="00B75FEC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40DB9"/>
    <w:rsid w:val="00C5669D"/>
    <w:rsid w:val="00C616A3"/>
    <w:rsid w:val="00C750BA"/>
    <w:rsid w:val="00C80D60"/>
    <w:rsid w:val="00C87DD7"/>
    <w:rsid w:val="00C92842"/>
    <w:rsid w:val="00CA1601"/>
    <w:rsid w:val="00CB0C61"/>
    <w:rsid w:val="00CB62F7"/>
    <w:rsid w:val="00CB7469"/>
    <w:rsid w:val="00CC27D1"/>
    <w:rsid w:val="00CE132E"/>
    <w:rsid w:val="00CE5CAF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DF29EC"/>
    <w:rsid w:val="00E05EEE"/>
    <w:rsid w:val="00E06762"/>
    <w:rsid w:val="00E1178F"/>
    <w:rsid w:val="00E22B75"/>
    <w:rsid w:val="00E2392D"/>
    <w:rsid w:val="00E35374"/>
    <w:rsid w:val="00E5638B"/>
    <w:rsid w:val="00E577AA"/>
    <w:rsid w:val="00E70B59"/>
    <w:rsid w:val="00E87411"/>
    <w:rsid w:val="00E97718"/>
    <w:rsid w:val="00EA2EB1"/>
    <w:rsid w:val="00EA7A9A"/>
    <w:rsid w:val="00EE095E"/>
    <w:rsid w:val="00EE2B75"/>
    <w:rsid w:val="00EF0446"/>
    <w:rsid w:val="00EF6977"/>
    <w:rsid w:val="00F0055B"/>
    <w:rsid w:val="00F25077"/>
    <w:rsid w:val="00F263C9"/>
    <w:rsid w:val="00F3047D"/>
    <w:rsid w:val="00F327DC"/>
    <w:rsid w:val="00F34CE5"/>
    <w:rsid w:val="00F375AE"/>
    <w:rsid w:val="00F41297"/>
    <w:rsid w:val="00F448DF"/>
    <w:rsid w:val="00F458E8"/>
    <w:rsid w:val="00F7691A"/>
    <w:rsid w:val="00F820E9"/>
    <w:rsid w:val="00F833DA"/>
    <w:rsid w:val="00FA2128"/>
    <w:rsid w:val="00FC6E43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F5A0E04"/>
  <w15:docId w15:val="{5DA85A58-6E0E-454C-8AC9-DE5CB948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1083</Words>
  <Characters>6287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7</cp:revision>
  <cp:lastPrinted>2022-09-30T14:36:00Z</cp:lastPrinted>
  <dcterms:created xsi:type="dcterms:W3CDTF">2024-12-09T12:38:00Z</dcterms:created>
  <dcterms:modified xsi:type="dcterms:W3CDTF">2024-12-19T07:27:00Z</dcterms:modified>
</cp:coreProperties>
</file>