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78A" w:rsidRDefault="00CF578A" w:rsidP="00CF578A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Helvetica" w:hAnsi="Helvetica" w:cs="Helvetica"/>
          <w:color w:val="555555"/>
          <w:sz w:val="28"/>
          <w:szCs w:val="28"/>
          <w:bdr w:val="none" w:sz="0" w:space="0" w:color="auto" w:frame="1"/>
        </w:rPr>
      </w:pPr>
      <w:r>
        <w:rPr>
          <w:rStyle w:val="Strong"/>
          <w:rFonts w:ascii="Helvetica" w:hAnsi="Helvetica" w:cs="Helvetica"/>
          <w:color w:val="555555"/>
          <w:sz w:val="28"/>
          <w:szCs w:val="28"/>
          <w:bdr w:val="none" w:sz="0" w:space="0" w:color="auto" w:frame="1"/>
        </w:rPr>
        <w:t>Nota 2</w:t>
      </w:r>
    </w:p>
    <w:p w:rsidR="00CF578A" w:rsidRDefault="00CF578A" w:rsidP="00CF578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555555"/>
          <w:sz w:val="20"/>
          <w:szCs w:val="20"/>
        </w:rPr>
      </w:pPr>
      <w:bookmarkStart w:id="0" w:name="_GoBack"/>
      <w:bookmarkEnd w:id="0"/>
    </w:p>
    <w:p w:rsidR="00CF578A" w:rsidRDefault="00CF578A" w:rsidP="00CF578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bdr w:val="none" w:sz="0" w:space="0" w:color="auto" w:frame="1"/>
        </w:rPr>
        <w:t xml:space="preserve">Conform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hotararii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Senatului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din data de 7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iunie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2016,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pct.VII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din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metodologia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de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admitere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se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modifica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dupa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cum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urmeaza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>: </w:t>
      </w:r>
    </w:p>
    <w:p w:rsidR="00CF578A" w:rsidRDefault="00CF578A" w:rsidP="00CF578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bdr w:val="none" w:sz="0" w:space="0" w:color="auto" w:frame="1"/>
        </w:rPr>
        <w:t>"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Candidaţii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la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studiile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universitare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de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licenţă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, care au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obţinut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în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perioada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studiilor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liceale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distincţii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(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premiile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I, II, III,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menţiune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) la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olimpiadele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şcolare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internaţionale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recunoscute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de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către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M.E.N.C.Ş.,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beneficiază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de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dreptul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de a se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înscrie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fără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susţinerea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concursului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de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admitere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pe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locuri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finanţate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de la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buget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. De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asemenea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, U.M.F. “Carol Davila”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acceptă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pentru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înscriere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la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studiile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universitare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de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licenţă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fără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concurs de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admitere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candidaţii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care au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obţinut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în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perioada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studiilor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liceale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distincţii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(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premiile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I, II, III,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menţiune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) la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olimpiadele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naţionale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recunoscute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de M.E.N.C.Ş, la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disciplinele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Biologie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Fizică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şi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555555"/>
          <w:bdr w:val="none" w:sz="0" w:space="0" w:color="auto" w:frame="1"/>
        </w:rPr>
        <w:t>Chimie</w:t>
      </w:r>
      <w:proofErr w:type="spellEnd"/>
      <w:r>
        <w:rPr>
          <w:rFonts w:ascii="Helvetica" w:hAnsi="Helvetica" w:cs="Helvetica"/>
          <w:color w:val="555555"/>
          <w:bdr w:val="none" w:sz="0" w:space="0" w:color="auto" w:frame="1"/>
        </w:rPr>
        <w:t>." </w:t>
      </w:r>
    </w:p>
    <w:p w:rsidR="00266A22" w:rsidRDefault="00266A22"/>
    <w:sectPr w:rsidR="00266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8A"/>
    <w:rsid w:val="00266A22"/>
    <w:rsid w:val="00C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A6E3D-07BE-4CDC-946F-5C6E44DE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5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57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Mxu_PC</dc:creator>
  <cp:keywords/>
  <dc:description/>
  <cp:lastModifiedBy>Mxu_PC</cp:lastModifiedBy>
  <cp:revision>1</cp:revision>
  <dcterms:created xsi:type="dcterms:W3CDTF">2016-09-29T13:48:00Z</dcterms:created>
  <dcterms:modified xsi:type="dcterms:W3CDTF">2016-09-29T13:49:00Z</dcterms:modified>
</cp:coreProperties>
</file>