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CURS 1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Fundamente teoretice ale psihosomaticii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Istoricul conceptelor psihosomatice;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Modele teoretice fundamentale;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Dezvoltări recente în psihosomatică (în domeniile psihofiziologiei ; relaţiei între evenimentele de viaţă   </w:t>
      </w:r>
    </w:p>
    <w:p w:rsidR="000F7CC6" w:rsidRPr="00C15FD2" w:rsidRDefault="000F7CC6" w:rsidP="000F7CC6">
      <w:pPr>
        <w:ind w:right="-180"/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stressante – îmbolnăvire ; manifestărilor clinice somatice ale îmbolnăvirii / încărcării psihice (TPS, BPS) ;   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consecinţelor psihologice ale bolilor somatice ; evaluării efectului pozitiv al consilierii / psihoterapiei în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tulburările / bolile psihosomatice).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CURS 2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Bolile cardiovasculare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   Mecanisme psihopatogenice în boala cardiacă: factori psihoindividuali şi psihosociali consideraţi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   semnificativi, răsunetul psihologic al simptomelor din boala cardiacă;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   Diverse entităţi nosologice cardiovasculare şi corelatele lor psihologice: HTA, infarctul miocardic, angina pectorală, insuficienţa cardiacă, aritmiile cardiace;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ab/>
        <w:t>Corelate psihologice ale chirurgiei cardiovasculare;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   Asistenţa psihologică ca parte distinctă a procesului de reabilitare cardiacă.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Bolile respiratorii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        </w:t>
      </w:r>
      <w:r w:rsidRPr="00C15FD2">
        <w:rPr>
          <w:color w:val="222222"/>
          <w:sz w:val="20"/>
          <w:szCs w:val="20"/>
          <w:lang w:val="ro-RO"/>
        </w:rPr>
        <w:t>Mecanisme psihopatogenice în boli respiratorii cu prevalenţă crescută (BPOC, astmul bronşic, tuberculoza  pulmonară);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   Reacţii psihologice la îmbolnăvire în bolile respiratorii (aplicaţie: astmul bronşic);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</w:t>
      </w:r>
      <w:r w:rsidRPr="00C15FD2">
        <w:rPr>
          <w:color w:val="222222"/>
          <w:sz w:val="20"/>
          <w:szCs w:val="20"/>
          <w:lang w:val="ro-RO"/>
        </w:rPr>
        <w:tab/>
        <w:t>Problema complianţei la tratament în bolile respiratorii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    Modalităţi de intervenţie psihocomportamentală în bolile respiratorii (oportunităţi şi dificultăţi). Reabilitarea  respiratorie.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CURS 3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Bolile digestive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         </w:t>
      </w:r>
      <w:r w:rsidRPr="00C15FD2">
        <w:rPr>
          <w:color w:val="222222"/>
          <w:sz w:val="20"/>
          <w:szCs w:val="20"/>
          <w:lang w:val="ro-RO"/>
        </w:rPr>
        <w:t>Mecanisme psihopatogenice în boala digestivă. Tulburări funcţionale gastrointestinale (TFGI);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</w:t>
      </w:r>
      <w:r w:rsidRPr="00C15FD2">
        <w:rPr>
          <w:color w:val="222222"/>
          <w:sz w:val="20"/>
          <w:szCs w:val="20"/>
          <w:lang w:val="ro-RO"/>
        </w:rPr>
        <w:tab/>
        <w:t>Comportamentul în bolile digestive cronice – exemplificări;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</w:t>
      </w:r>
      <w:r w:rsidRPr="00C15FD2">
        <w:rPr>
          <w:color w:val="222222"/>
          <w:sz w:val="20"/>
          <w:szCs w:val="20"/>
          <w:lang w:val="ro-RO"/>
        </w:rPr>
        <w:tab/>
        <w:t>Abordarea psihoterapeutică a pacienţilor cu TFGI şi boli digestive cronice.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Bolile renale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</w:t>
      </w:r>
      <w:r w:rsidRPr="00C15FD2">
        <w:rPr>
          <w:color w:val="222222"/>
          <w:sz w:val="20"/>
          <w:szCs w:val="20"/>
          <w:lang w:val="ro-RO"/>
        </w:rPr>
        <w:t>Boala renală</w:t>
      </w:r>
      <w:r w:rsidRPr="00C15FD2">
        <w:rPr>
          <w:b/>
          <w:color w:val="222222"/>
          <w:sz w:val="20"/>
          <w:szCs w:val="20"/>
          <w:lang w:val="ro-RO"/>
        </w:rPr>
        <w:t xml:space="preserve"> </w:t>
      </w:r>
      <w:r w:rsidRPr="00C15FD2">
        <w:rPr>
          <w:color w:val="222222"/>
          <w:sz w:val="20"/>
          <w:szCs w:val="20"/>
          <w:lang w:val="ro-RO"/>
        </w:rPr>
        <w:t>cronică. Impactul psihologic al bolii renale în stagiu final (BRSF).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Comportamente în bolile renale cronice – exemplificări;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</w:t>
      </w:r>
      <w:r w:rsidRPr="00C15FD2">
        <w:rPr>
          <w:color w:val="222222"/>
          <w:sz w:val="20"/>
          <w:szCs w:val="20"/>
          <w:lang w:val="ro-RO"/>
        </w:rPr>
        <w:t>Tehnici de modelare comportamentală în bolile renale.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Bolile neoplazice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 </w:t>
      </w:r>
      <w:r w:rsidRPr="00C15FD2">
        <w:rPr>
          <w:color w:val="222222"/>
          <w:sz w:val="20"/>
          <w:szCs w:val="20"/>
          <w:lang w:val="ro-RO"/>
        </w:rPr>
        <w:t>Impactul psihologic al diagnosticului de cancer;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Copingul cu boala neoplazică;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Asistenţa psihologică a pacienţilor neoplazici.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 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CURS 4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Locul şi rolul psihoterapiei în bolile psihosomatice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  </w:t>
      </w:r>
      <w:r w:rsidRPr="00C15FD2">
        <w:rPr>
          <w:b/>
          <w:color w:val="222222"/>
          <w:sz w:val="20"/>
          <w:szCs w:val="20"/>
          <w:lang w:val="ro-RO"/>
        </w:rPr>
        <w:tab/>
      </w:r>
      <w:r w:rsidRPr="00C15FD2">
        <w:rPr>
          <w:color w:val="222222"/>
          <w:sz w:val="20"/>
          <w:szCs w:val="20"/>
          <w:lang w:val="ro-RO"/>
        </w:rPr>
        <w:t>Balanţa consiliere – psihoterapie;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</w:t>
      </w:r>
      <w:r w:rsidRPr="00C15FD2">
        <w:rPr>
          <w:color w:val="222222"/>
          <w:sz w:val="20"/>
          <w:szCs w:val="20"/>
          <w:lang w:val="ro-RO"/>
        </w:rPr>
        <w:tab/>
        <w:t>Terapia cognitiv-comportamentală în bolile psihosomatice;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</w:t>
      </w:r>
      <w:r w:rsidRPr="00C15FD2">
        <w:rPr>
          <w:color w:val="222222"/>
          <w:sz w:val="20"/>
          <w:szCs w:val="20"/>
          <w:lang w:val="ro-RO"/>
        </w:rPr>
        <w:tab/>
        <w:t>Tehnici de relaxare şi hipnoză în bolile psihosomatice;</w:t>
      </w:r>
    </w:p>
    <w:p w:rsidR="000F7CC6" w:rsidRPr="00C15FD2" w:rsidRDefault="000F7CC6" w:rsidP="000F7CC6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 </w:t>
      </w:r>
      <w:r w:rsidRPr="00C15FD2">
        <w:rPr>
          <w:color w:val="222222"/>
          <w:sz w:val="20"/>
          <w:szCs w:val="20"/>
          <w:lang w:val="ro-RO"/>
        </w:rPr>
        <w:tab/>
        <w:t>Terapia familială în bolile psihosomatice.</w:t>
      </w:r>
    </w:p>
    <w:p w:rsidR="000F7CC6" w:rsidRPr="0091743D" w:rsidRDefault="000F7CC6" w:rsidP="000F7CC6">
      <w:pPr>
        <w:jc w:val="both"/>
        <w:rPr>
          <w:lang w:val="ro-RO"/>
        </w:rPr>
      </w:pPr>
      <w:r w:rsidRPr="0091743D">
        <w:rPr>
          <w:b/>
          <w:color w:val="222222"/>
          <w:sz w:val="20"/>
          <w:szCs w:val="20"/>
          <w:lang w:val="ro-RO"/>
        </w:rPr>
        <w:t> 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15"/>
    <w:rsid w:val="000F7CC6"/>
    <w:rsid w:val="00333B3B"/>
    <w:rsid w:val="004F468D"/>
    <w:rsid w:val="00820A73"/>
    <w:rsid w:val="00A524AA"/>
    <w:rsid w:val="00CD4115"/>
    <w:rsid w:val="00E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66ABE-9200-4042-9002-1052E6B9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2016-10-09T06:56:00Z</dcterms:created>
  <dcterms:modified xsi:type="dcterms:W3CDTF">2016-10-09T06:56:00Z</dcterms:modified>
</cp:coreProperties>
</file>